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b/>
          <w:bCs/>
          <w:color w:val="2D5016"/>
          <w:sz w:val="40"/>
          <w:szCs w:val="40"/>
        </w:rPr>
        <w:t xml:space="preserve">NANA BAMBI'S</w:t>
      </w:r>
    </w:p>
    <w:p>
      <w:pPr>
        <w:spacing w:before="0" w:after="60"/>
        <w:jc w:val="center"/>
      </w:pPr>
      <w:r>
        <w:rPr>
          <w:b/>
          <w:bCs/>
          <w:color w:val="5B8A3C"/>
          <w:sz w:val="28"/>
          <w:szCs w:val="28"/>
        </w:rPr>
        <w:t xml:space="preserve">Cash Handling &amp; Payment Procedure</w:t>
      </w:r>
    </w:p>
    <w:p>
      <w:pPr>
        <w:spacing w:before="0" w:after="80"/>
        <w:jc w:val="center"/>
      </w:pPr>
      <w:r>
        <w:rPr>
          <w:i/>
          <w:iCs/>
          <w:color w:val="666666"/>
          <w:sz w:val="22"/>
          <w:szCs w:val="22"/>
        </w:rPr>
        <w:t xml:space="preserve">Satellite Container Shops — All Locations</w:t>
      </w:r>
    </w:p>
    <w:p>
      <w:pPr>
        <w:pBdr>
          <w:bottom w:val="single" w:color="5B8A3C" w:sz="6" w:space="1"/>
        </w:pBdr>
        <w:spacing w:before="0" w:after="240"/>
      </w:pPr>
      <w:r>
        <w:t xml:space="preserve"/>
      </w:r>
    </w:p>
    <w:p>
      <w:pPr>
        <w:pStyle w:val="Heading1"/>
        <w:spacing w:before="360" w:after="120"/>
      </w:pPr>
      <w:r>
        <w:rPr>
          <w:b/>
          <w:bCs/>
          <w:color w:val="2D5016"/>
          <w:sz w:val="28"/>
          <w:szCs w:val="28"/>
        </w:rPr>
        <w:t xml:space="preserve">Purpose</w:t>
      </w:r>
    </w:p>
    <w:p>
      <w:pPr>
        <w:spacing w:before="80" w:after="80"/>
      </w:pPr>
      <w:r>
        <w:rPr>
          <w:sz w:val="22"/>
          <w:szCs w:val="22"/>
        </w:rPr>
        <w:t xml:space="preserve">This procedure establishes a consistent, safe, and auditable cash handling system across all Nana Bambi's satellite container shops. The guiding principle is simple:</w:t>
      </w:r>
    </w:p>
    <w:p>
      <w:pPr>
        <w:spacing w:before="60" w:after="60"/>
      </w:pPr>
      <w:r>
        <w:t xml:space="preserve"/>
      </w:r>
    </w:p>
    <w:p>
      <w:pPr>
        <w:spacing w:before="120" w:after="120"/>
        <w:jc w:val="center"/>
      </w:pPr>
      <w:r>
        <w:rPr>
          <w:b/>
          <w:bCs/>
          <w:i/>
          <w:iCs/>
          <w:color w:val="2D5016"/>
          <w:sz w:val="24"/>
          <w:szCs w:val="24"/>
        </w:rPr>
        <w:t xml:space="preserve">Cash flows IN to the shop. Cash flows OUT only via scheduled truck drops. Never the reverse.</w:t>
      </w:r>
    </w:p>
    <w:p>
      <w:pPr>
        <w:spacing w:before="60" w:after="60"/>
      </w:pPr>
      <w:r>
        <w:t xml:space="preserve"/>
      </w:r>
    </w:p>
    <w:p>
      <w:pPr>
        <w:pStyle w:val="Heading1"/>
        <w:spacing w:before="360" w:after="120"/>
      </w:pPr>
      <w:r>
        <w:rPr>
          <w:b/>
          <w:bCs/>
          <w:color w:val="2D5016"/>
          <w:sz w:val="28"/>
          <w:szCs w:val="28"/>
        </w:rPr>
        <w:t xml:space="preserve">Accepted Payment Methods</w:t>
      </w:r>
    </w:p>
    <w:p>
      <w:pPr>
        <w:pStyle w:val="ListParagraph"/>
        <w:numPr>
          <w:ilvl w:val="0"/>
          <w:numId w:val="2"/>
        </w:numPr>
        <w:spacing w:before="60" w:after="60"/>
      </w:pPr>
      <w:r>
        <w:rPr>
          <w:b w:val="false"/>
          <w:bCs w:val="false"/>
          <w:sz w:val="22"/>
          <w:szCs w:val="22"/>
        </w:rPr>
        <w:t xml:space="preserve">Cash (Philippine Peso)</w:t>
      </w:r>
    </w:p>
    <w:p>
      <w:pPr>
        <w:pStyle w:val="ListParagraph"/>
        <w:numPr>
          <w:ilvl w:val="0"/>
          <w:numId w:val="2"/>
        </w:numPr>
        <w:spacing w:before="60" w:after="60"/>
      </w:pPr>
      <w:r>
        <w:rPr>
          <w:b w:val="false"/>
          <w:bCs w:val="false"/>
          <w:sz w:val="22"/>
          <w:szCs w:val="22"/>
        </w:rPr>
        <w:t xml:space="preserve">GCash — QR scan at point of sale</w:t>
      </w:r>
    </w:p>
    <w:p>
      <w:pPr>
        <w:pStyle w:val="ListParagraph"/>
        <w:numPr>
          <w:ilvl w:val="0"/>
          <w:numId w:val="2"/>
        </w:numPr>
        <w:spacing w:before="60" w:after="60"/>
      </w:pPr>
      <w:r>
        <w:rPr>
          <w:b w:val="false"/>
          <w:bCs w:val="false"/>
          <w:sz w:val="22"/>
          <w:szCs w:val="22"/>
        </w:rPr>
        <w:t xml:space="preserve">Maya — QR scan at point of sale</w:t>
      </w:r>
    </w:p>
    <w:p>
      <w:pPr>
        <w:pStyle w:val="ListParagraph"/>
        <w:numPr>
          <w:ilvl w:val="0"/>
          <w:numId w:val="2"/>
        </w:numPr>
        <w:spacing w:before="60" w:after="60"/>
      </w:pPr>
      <w:r>
        <w:rPr>
          <w:b w:val="false"/>
          <w:bCs w:val="false"/>
          <w:sz w:val="22"/>
          <w:szCs w:val="22"/>
        </w:rPr>
        <w:t xml:space="preserve">Bank transfer (InstaPay / PESONet) — pre-orders and delivery accounts only</w:t>
      </w:r>
    </w:p>
    <w:p>
      <w:pPr>
        <w:pStyle w:val="ListParagraph"/>
        <w:numPr>
          <w:ilvl w:val="0"/>
          <w:numId w:val="2"/>
        </w:numPr>
        <w:spacing w:before="60" w:after="60"/>
      </w:pPr>
      <w:r>
        <w:rPr>
          <w:b w:val="false"/>
          <w:bCs w:val="false"/>
          <w:sz w:val="22"/>
          <w:szCs w:val="22"/>
        </w:rPr>
        <w:t xml:space="preserve">Palawan Express / Cebuana — accepted for customers without smartphones</w:t>
      </w:r>
    </w:p>
    <w:p>
      <w:pPr>
        <w:spacing w:before="60" w:after="60"/>
      </w:pPr>
      <w:r>
        <w:t xml:space="preserve"/>
      </w:r>
    </w:p>
    <w:p>
      <w:pPr>
        <w:spacing w:before="80" w:after="80"/>
      </w:pPr>
      <w:r>
        <w:rPr>
          <w:sz w:val="22"/>
          <w:szCs w:val="22"/>
        </w:rPr>
        <w:t xml:space="preserve">Note: Cash remains the primary method for walk-in customers in rural areas. All digital payment channels run through the registered Nana Bambi's merchant account.</w:t>
      </w:r>
    </w:p>
    <w:p>
      <w:pPr>
        <w:pStyle w:val="Heading1"/>
        <w:spacing w:before="360" w:after="120"/>
      </w:pPr>
      <w:r>
        <w:rPr>
          <w:b/>
          <w:bCs/>
          <w:color w:val="2D5016"/>
          <w:sz w:val="28"/>
          <w:szCs w:val="28"/>
        </w:rPr>
        <w:t xml:space="preserve">Shop Float</w:t>
      </w:r>
    </w:p>
    <w:p>
      <w:pPr>
        <w:pStyle w:val="Heading2"/>
        <w:spacing w:before="280" w:after="80"/>
      </w:pPr>
      <w:r>
        <w:rPr>
          <w:b/>
          <w:bCs/>
          <w:color w:val="5B8A3C"/>
          <w:sz w:val="24"/>
          <w:szCs w:val="24"/>
        </w:rPr>
        <w:t xml:space="preserve">Standard Float Amount</w:t>
      </w:r>
    </w:p>
    <w:p>
      <w:pPr>
        <w:spacing w:before="80" w:after="80"/>
      </w:pPr>
      <w:r>
        <w:rPr>
          <w:sz w:val="22"/>
          <w:szCs w:val="22"/>
        </w:rPr>
        <w:t xml:space="preserve">Each shop maintains a standing float of ₱2,000–2,500 Philippine Peso. This is enough to make change on typical daily transactions without holding excess risk.</w:t>
      </w:r>
    </w:p>
    <w:p>
      <w:pPr>
        <w:spacing w:before="60" w:after="60"/>
      </w:pPr>
      <w:r>
        <w:t xml:space="preserve"/>
      </w:r>
    </w:p>
    <w:p>
      <w:pPr>
        <w:pStyle w:val="Heading2"/>
        <w:spacing w:before="280" w:after="80"/>
      </w:pPr>
      <w:r>
        <w:rPr>
          <w:b/>
          <w:bCs/>
          <w:color w:val="5B8A3C"/>
          <w:sz w:val="24"/>
          <w:szCs w:val="24"/>
        </w:rPr>
        <w:t xml:space="preserve">Float Top-Up Rule</w:t>
      </w:r>
    </w:p>
    <w:p>
      <w:pPr>
        <w:pBdr>
          <w:left w:val="single" w:color="E8A020" w:sz="12" w:space="8"/>
        </w:pBdr>
        <w:spacing w:before="80" w:after="80"/>
        <w:ind w:left="360"/>
      </w:pPr>
      <w:r>
        <w:rPr>
          <w:b/>
          <w:bCs/>
          <w:color w:val="8B4000"/>
          <w:sz w:val="22"/>
          <w:szCs w:val="22"/>
        </w:rPr>
        <w:t xml:space="preserve">Drivers and delivery trucks are NEVER used to top up a shop float. No cash moves toward a shop via the delivery network.</w:t>
      </w:r>
    </w:p>
    <w:p>
      <w:pPr>
        <w:spacing w:before="60" w:after="60"/>
      </w:pPr>
      <w:r>
        <w:t xml:space="preserve"/>
      </w:r>
    </w:p>
    <w:p>
      <w:pPr>
        <w:spacing w:before="80" w:after="80"/>
      </w:pPr>
      <w:r>
        <w:rPr>
          <w:sz w:val="22"/>
          <w:szCs w:val="22"/>
        </w:rPr>
        <w:t xml:space="preserve">If a shop runs short on small denominations for change, the shop attendant takes a portion of the existing float to the nearest rural bank, cooperative, Palawan Express, or Cebuana branch and exchanges for smaller bills. This is a local fix handled independently of the delivery schedule.</w:t>
      </w:r>
    </w:p>
    <w:p>
      <w:pPr>
        <w:pStyle w:val="Heading1"/>
        <w:spacing w:before="360" w:after="120"/>
      </w:pPr>
      <w:r>
        <w:rPr>
          <w:b/>
          <w:bCs/>
          <w:color w:val="2D5016"/>
          <w:sz w:val="28"/>
          <w:szCs w:val="28"/>
        </w:rPr>
        <w:t xml:space="preserve">Daily Cash Drop Procedure</w:t>
      </w:r>
    </w:p>
    <w:p>
      <w:pPr>
        <w:pStyle w:val="Heading2"/>
        <w:spacing w:before="280" w:after="80"/>
      </w:pPr>
      <w:r>
        <w:rPr>
          <w:b/>
          <w:bCs/>
          <w:color w:val="5B8A3C"/>
          <w:sz w:val="24"/>
          <w:szCs w:val="24"/>
        </w:rPr>
        <w:t xml:space="preserve">Overview</w:t>
      </w:r>
    </w:p>
    <w:p>
      <w:pPr>
        <w:spacing w:before="80" w:after="80"/>
      </w:pPr>
      <w:r>
        <w:rPr>
          <w:sz w:val="22"/>
          <w:szCs w:val="22"/>
        </w:rPr>
        <w:t xml:space="preserve">Trucks run two drop windows daily — midday and end of day. At each drop, excess cash is removed from the shop and transported to the central Nana Bambi's hub. This keeps cash exposure in each shop low at all times.</w:t>
      </w:r>
    </w:p>
    <w:p>
      <w:pPr>
        <w:spacing w:before="60" w:after="60"/>
      </w:pPr>
      <w:r>
        <w:t xml:space="preserve"/>
      </w:r>
    </w:p>
    <w:p>
      <w:pPr>
        <w:pStyle w:val="Heading2"/>
        <w:spacing w:before="280" w:after="80"/>
      </w:pPr>
      <w:r>
        <w:rPr>
          <w:b/>
          <w:bCs/>
          <w:color w:val="5B8A3C"/>
          <w:sz w:val="24"/>
          <w:szCs w:val="24"/>
        </w:rPr>
        <w:t xml:space="preserve">Step-by-Step</w:t>
      </w:r>
    </w:p>
    <w:p>
      <w:pPr>
        <w:pStyle w:val="ListParagraph"/>
        <w:numPr>
          <w:ilvl w:val="0"/>
          <w:numId w:val="3"/>
        </w:numPr>
        <w:spacing w:before="80" w:after="80"/>
      </w:pPr>
      <w:r>
        <w:rPr>
          <w:sz w:val="22"/>
          <w:szCs w:val="22"/>
        </w:rPr>
        <w:t xml:space="preserve">Shop attendant counts all cash in the drawer at drop time.</w:t>
      </w:r>
    </w:p>
    <w:p>
      <w:pPr>
        <w:pStyle w:val="ListParagraph"/>
        <w:numPr>
          <w:ilvl w:val="0"/>
          <w:numId w:val="3"/>
        </w:numPr>
        <w:spacing w:before="80" w:after="80"/>
      </w:pPr>
      <w:r>
        <w:rPr>
          <w:sz w:val="22"/>
          <w:szCs w:val="22"/>
        </w:rPr>
        <w:t xml:space="preserve">Attendant retains the standard float (₱2,000–2,500). All cash above this amount is the drop amount.</w:t>
      </w:r>
    </w:p>
    <w:p>
      <w:pPr>
        <w:pStyle w:val="ListParagraph"/>
        <w:numPr>
          <w:ilvl w:val="0"/>
          <w:numId w:val="3"/>
        </w:numPr>
        <w:spacing w:before="80" w:after="80"/>
      </w:pPr>
      <w:r>
        <w:rPr>
          <w:sz w:val="22"/>
          <w:szCs w:val="22"/>
        </w:rPr>
        <w:t xml:space="preserve">Drop amount is placed in a sealed, numbered envelope with the daily reconciliation sheet inside.</w:t>
      </w:r>
    </w:p>
    <w:p>
      <w:pPr>
        <w:pStyle w:val="ListParagraph"/>
        <w:numPr>
          <w:ilvl w:val="0"/>
          <w:numId w:val="3"/>
        </w:numPr>
        <w:spacing w:before="80" w:after="80"/>
      </w:pPr>
      <w:r>
        <w:rPr>
          <w:sz w:val="22"/>
          <w:szCs w:val="22"/>
        </w:rPr>
        <w:t xml:space="preserve">Driver and attendant both count the drop amount together and sign the reconciliation sheet.</w:t>
      </w:r>
    </w:p>
    <w:p>
      <w:pPr>
        <w:pStyle w:val="ListParagraph"/>
        <w:numPr>
          <w:ilvl w:val="0"/>
          <w:numId w:val="3"/>
        </w:numPr>
        <w:spacing w:before="80" w:after="80"/>
      </w:pPr>
      <w:r>
        <w:rPr>
          <w:sz w:val="22"/>
          <w:szCs w:val="22"/>
        </w:rPr>
        <w:t xml:space="preserve">Driver takes the sealed envelope. Shop retains a copy of the signed sheet.</w:t>
      </w:r>
    </w:p>
    <w:p>
      <w:pPr>
        <w:pStyle w:val="ListParagraph"/>
        <w:numPr>
          <w:ilvl w:val="0"/>
          <w:numId w:val="3"/>
        </w:numPr>
        <w:spacing w:before="80" w:after="80"/>
      </w:pPr>
      <w:r>
        <w:rPr>
          <w:sz w:val="22"/>
          <w:szCs w:val="22"/>
        </w:rPr>
        <w:t xml:space="preserve">At the hub, the drop is counted again and logged against the shop's daily sales report.</w:t>
      </w:r>
    </w:p>
    <w:p>
      <w:pPr>
        <w:spacing w:before="60" w:after="60"/>
      </w:pPr>
      <w:r>
        <w:t xml:space="preserve"/>
      </w:r>
    </w:p>
    <w:p>
      <w:pPr>
        <w:pBdr>
          <w:left w:val="single" w:color="E8A020" w:sz="12" w:space="8"/>
        </w:pBdr>
        <w:spacing w:before="80" w:after="80"/>
        <w:ind w:left="360"/>
      </w:pPr>
      <w:r>
        <w:rPr>
          <w:b/>
          <w:bCs/>
          <w:color w:val="8B4000"/>
          <w:sz w:val="22"/>
          <w:szCs w:val="22"/>
        </w:rPr>
        <w:t xml:space="preserve">Drivers do not handle loose cash. They carry only sealed, signed envelopes. Drivers never carry cash for delivery to a shop.</w:t>
      </w:r>
    </w:p>
    <w:p>
      <w:pPr>
        <w:pStyle w:val="Heading1"/>
        <w:spacing w:before="360" w:after="120"/>
      </w:pPr>
      <w:r>
        <w:rPr>
          <w:b/>
          <w:bCs/>
          <w:color w:val="2D5016"/>
          <w:sz w:val="28"/>
          <w:szCs w:val="28"/>
        </w:rPr>
        <w:t xml:space="preserve">Daily Reconciliation</w:t>
      </w:r>
    </w:p>
    <w:p>
      <w:pPr>
        <w:spacing w:before="80" w:after="80"/>
      </w:pPr>
      <w:r>
        <w:rPr>
          <w:sz w:val="22"/>
          <w:szCs w:val="22"/>
        </w:rPr>
        <w:t xml:space="preserve">Each shop completes a reconciliation sheet at every cash drop. The sheet must balance before the envelope is sealed.</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c>
          <w:tcPr>
            <w:tcW w:type="dxa" w:w="3600"/>
            <w:tcBorders>
              <w:top w:val="single" w:color="5B8A3C" w:sz="1"/>
              <w:left w:val="single" w:color="5B8A3C" w:sz="1"/>
              <w:bottom w:val="single" w:color="5B8A3C" w:sz="1"/>
              <w:right w:val="single" w:color="5B8A3C" w:sz="1"/>
            </w:tcBorders>
            <w:shd w:fill="2D5016" w:val="clear"/>
            <w:tcMar>
              <w:top w:type="dxa" w:w="100"/>
              <w:left w:type="dxa" w:w="120"/>
              <w:bottom w:type="dxa" w:w="100"/>
              <w:right w:type="dxa" w:w="120"/>
            </w:tcMar>
            <w:vAlign w:val="center"/>
          </w:tcPr>
          <w:p>
            <w:pPr>
              <w:jc w:val="left"/>
            </w:pPr>
            <w:r>
              <w:rPr>
                <w:b/>
                <w:bCs/>
                <w:color w:val="FFFFFF"/>
                <w:sz w:val="20"/>
                <w:szCs w:val="20"/>
              </w:rPr>
              <w:t xml:space="preserve">Line Item</w:t>
            </w:r>
          </w:p>
        </w:tc>
        <w:tc>
          <w:tcPr>
            <w:tcW w:type="dxa" w:w="2880"/>
            <w:tcBorders>
              <w:top w:val="single" w:color="5B8A3C" w:sz="1"/>
              <w:left w:val="single" w:color="5B8A3C" w:sz="1"/>
              <w:bottom w:val="single" w:color="5B8A3C" w:sz="1"/>
              <w:right w:val="single" w:color="5B8A3C" w:sz="1"/>
            </w:tcBorders>
            <w:shd w:fill="2D5016" w:val="clear"/>
            <w:tcMar>
              <w:top w:type="dxa" w:w="100"/>
              <w:left w:type="dxa" w:w="120"/>
              <w:bottom w:type="dxa" w:w="100"/>
              <w:right w:type="dxa" w:w="120"/>
            </w:tcMar>
            <w:vAlign w:val="center"/>
          </w:tcPr>
          <w:p>
            <w:pPr>
              <w:jc w:val="left"/>
            </w:pPr>
            <w:r>
              <w:rPr>
                <w:b/>
                <w:bCs/>
                <w:color w:val="FFFFFF"/>
                <w:sz w:val="20"/>
                <w:szCs w:val="20"/>
              </w:rPr>
              <w:t xml:space="preserve">Amount (₱)</w:t>
            </w:r>
          </w:p>
        </w:tc>
        <w:tc>
          <w:tcPr>
            <w:tcW w:type="dxa" w:w="2880"/>
            <w:tcBorders>
              <w:top w:val="single" w:color="5B8A3C" w:sz="1"/>
              <w:left w:val="single" w:color="5B8A3C" w:sz="1"/>
              <w:bottom w:val="single" w:color="5B8A3C" w:sz="1"/>
              <w:right w:val="single" w:color="5B8A3C" w:sz="1"/>
            </w:tcBorders>
            <w:shd w:fill="2D5016" w:val="clear"/>
            <w:tcMar>
              <w:top w:type="dxa" w:w="100"/>
              <w:left w:type="dxa" w:w="120"/>
              <w:bottom w:type="dxa" w:w="100"/>
              <w:right w:type="dxa" w:w="120"/>
            </w:tcMar>
            <w:vAlign w:val="center"/>
          </w:tcPr>
          <w:p>
            <w:pPr>
              <w:jc w:val="left"/>
            </w:pPr>
            <w:r>
              <w:rPr>
                <w:b/>
                <w:bCs/>
                <w:color w:val="FFFFFF"/>
                <w:sz w:val="20"/>
                <w:szCs w:val="20"/>
              </w:rPr>
              <w:t xml:space="preserve">Notes</w:t>
            </w:r>
          </w:p>
        </w:tc>
      </w:tr>
      <w:tr>
        <w:tc>
          <w:tcPr>
            <w:tcW w:type="dxa" w:w="360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Opening float</w:t>
            </w:r>
          </w:p>
        </w:tc>
        <w:tc>
          <w:tcPr>
            <w:tcW w:type="dxa" w:w="28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
            </w:r>
          </w:p>
        </w:tc>
        <w:tc>
          <w:tcPr>
            <w:tcW w:type="dxa" w:w="28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Fixed ₱2,000–2,500</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Total cash sales</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From tally sheet</w:t>
            </w:r>
          </w:p>
        </w:tc>
      </w:tr>
      <w:tr>
        <w:tc>
          <w:tcPr>
            <w:tcW w:type="dxa" w:w="360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Total GCash / digital sales</w:t>
            </w:r>
          </w:p>
        </w:tc>
        <w:tc>
          <w:tcPr>
            <w:tcW w:type="dxa" w:w="28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
            </w:r>
          </w:p>
        </w:tc>
        <w:tc>
          <w:tcPr>
            <w:tcW w:type="dxa" w:w="28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From GCash merchant app</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Total sales (cash + digital)</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r>
          </w:p>
        </w:tc>
      </w:tr>
      <w:tr>
        <w:tc>
          <w:tcPr>
            <w:tcW w:type="dxa" w:w="360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Drop amount (cash out)</w:t>
            </w:r>
          </w:p>
        </w:tc>
        <w:tc>
          <w:tcPr>
            <w:tcW w:type="dxa" w:w="28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
            </w:r>
          </w:p>
        </w:tc>
        <w:tc>
          <w:tcPr>
            <w:tcW w:type="dxa" w:w="28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Cash above float level</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Closing float retained</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Must equal opening float</w:t>
            </w:r>
          </w:p>
        </w:tc>
      </w:tr>
      <w:tr>
        <w:tc>
          <w:tcPr>
            <w:tcW w:type="dxa" w:w="360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Attendant signature</w:t>
            </w:r>
          </w:p>
        </w:tc>
        <w:tc>
          <w:tcPr>
            <w:tcW w:type="dxa" w:w="28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
            </w:r>
          </w:p>
        </w:tc>
        <w:tc>
          <w:tcPr>
            <w:tcW w:type="dxa" w:w="28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Driver signature</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r>
          </w:p>
        </w:tc>
      </w:tr>
    </w:tbl>
    <w:p>
      <w:pPr>
        <w:spacing w:before="60" w:after="60"/>
      </w:pPr>
      <w:r>
        <w:t xml:space="preserve"/>
      </w:r>
    </w:p>
    <w:p>
      <w:pPr>
        <w:spacing w:before="80" w:after="80"/>
      </w:pPr>
      <w:r>
        <w:rPr>
          <w:sz w:val="22"/>
          <w:szCs w:val="22"/>
        </w:rPr>
        <w:t xml:space="preserve">Discrepancies must be noted on the sheet before sealing. Do not guess or adjust to make it balance. Flag and report.</w:t>
      </w:r>
    </w:p>
    <w:p>
      <w:pPr>
        <w:pStyle w:val="Heading1"/>
        <w:spacing w:before="360" w:after="120"/>
      </w:pPr>
      <w:r>
        <w:rPr>
          <w:b/>
          <w:bCs/>
          <w:color w:val="2D5016"/>
          <w:sz w:val="28"/>
          <w:szCs w:val="28"/>
        </w:rPr>
        <w:t xml:space="preserve">GCash — Outgoing Payments</w:t>
      </w:r>
    </w:p>
    <w:p>
      <w:pPr>
        <w:spacing w:before="80" w:after="80"/>
      </w:pPr>
      <w:r>
        <w:rPr>
          <w:sz w:val="22"/>
          <w:szCs w:val="22"/>
        </w:rPr>
        <w:t xml:space="preserve">GCash is the sole authorised channel for all outgoing payments from shop operations. This includes:</w:t>
      </w:r>
    </w:p>
    <w:p>
      <w:pPr>
        <w:pStyle w:val="ListParagraph"/>
        <w:numPr>
          <w:ilvl w:val="0"/>
          <w:numId w:val="2"/>
        </w:numPr>
        <w:spacing w:before="60" w:after="60"/>
      </w:pPr>
      <w:r>
        <w:rPr>
          <w:b w:val="false"/>
          <w:bCs w:val="false"/>
          <w:sz w:val="22"/>
          <w:szCs w:val="22"/>
        </w:rPr>
        <w:t xml:space="preserve">Supplier payments</w:t>
      </w:r>
    </w:p>
    <w:p>
      <w:pPr>
        <w:pStyle w:val="ListParagraph"/>
        <w:numPr>
          <w:ilvl w:val="0"/>
          <w:numId w:val="2"/>
        </w:numPr>
        <w:spacing w:before="60" w:after="60"/>
      </w:pPr>
      <w:r>
        <w:rPr>
          <w:b w:val="false"/>
          <w:bCs w:val="false"/>
          <w:sz w:val="22"/>
          <w:szCs w:val="22"/>
        </w:rPr>
        <w:t xml:space="preserve">Driver expense reimbursements</w:t>
      </w:r>
    </w:p>
    <w:p>
      <w:pPr>
        <w:pStyle w:val="ListParagraph"/>
        <w:numPr>
          <w:ilvl w:val="0"/>
          <w:numId w:val="2"/>
        </w:numPr>
        <w:spacing w:before="60" w:after="60"/>
      </w:pPr>
      <w:r>
        <w:rPr>
          <w:b w:val="false"/>
          <w:bCs w:val="false"/>
          <w:sz w:val="22"/>
          <w:szCs w:val="22"/>
        </w:rPr>
        <w:t xml:space="preserve">Refunds to customers</w:t>
      </w:r>
    </w:p>
    <w:p>
      <w:pPr>
        <w:pStyle w:val="ListParagraph"/>
        <w:numPr>
          <w:ilvl w:val="0"/>
          <w:numId w:val="2"/>
        </w:numPr>
        <w:spacing w:before="60" w:after="60"/>
      </w:pPr>
      <w:r>
        <w:rPr>
          <w:b w:val="false"/>
          <w:bCs w:val="false"/>
          <w:sz w:val="22"/>
          <w:szCs w:val="22"/>
        </w:rPr>
        <w:t xml:space="preserve">Any other operational disbursements</w:t>
      </w:r>
    </w:p>
    <w:p>
      <w:pPr>
        <w:spacing w:before="60" w:after="60"/>
      </w:pPr>
      <w:r>
        <w:t xml:space="preserve"/>
      </w:r>
    </w:p>
    <w:p>
      <w:pPr>
        <w:spacing w:before="80" w:after="80"/>
      </w:pPr>
      <w:r>
        <w:rPr>
          <w:sz w:val="22"/>
          <w:szCs w:val="22"/>
        </w:rPr>
        <w:t xml:space="preserve">No cash is disbursed from the shop float for operational expenses. If a payment cannot be made via GCash or bank transfer, it is escalated to hub management.</w:t>
      </w:r>
    </w:p>
    <w:p>
      <w:pPr>
        <w:pStyle w:val="Heading1"/>
        <w:spacing w:before="360" w:after="120"/>
      </w:pPr>
      <w:r>
        <w:rPr>
          <w:b/>
          <w:bCs/>
          <w:color w:val="2D5016"/>
          <w:sz w:val="28"/>
          <w:szCs w:val="28"/>
        </w:rPr>
        <w:t xml:space="preserve">Core Rules Summary</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5B8A3C" w:sz="1"/>
              <w:left w:val="single" w:color="5B8A3C" w:sz="1"/>
              <w:bottom w:val="single" w:color="5B8A3C" w:sz="1"/>
              <w:right w:val="single" w:color="5B8A3C" w:sz="1"/>
            </w:tcBorders>
            <w:shd w:fill="2D5016" w:val="clear"/>
            <w:tcMar>
              <w:top w:type="dxa" w:w="100"/>
              <w:left w:type="dxa" w:w="120"/>
              <w:bottom w:type="dxa" w:w="100"/>
              <w:right w:type="dxa" w:w="120"/>
            </w:tcMar>
            <w:vAlign w:val="center"/>
          </w:tcPr>
          <w:p>
            <w:pPr>
              <w:jc w:val="left"/>
            </w:pPr>
            <w:r>
              <w:rPr>
                <w:b/>
                <w:bCs/>
                <w:color w:val="FFFFFF"/>
                <w:sz w:val="20"/>
                <w:szCs w:val="20"/>
              </w:rPr>
              <w:t xml:space="preserve">Rule</w:t>
            </w:r>
          </w:p>
        </w:tc>
        <w:tc>
          <w:tcPr>
            <w:tcW w:type="dxa" w:w="4680"/>
            <w:tcBorders>
              <w:top w:val="single" w:color="5B8A3C" w:sz="1"/>
              <w:left w:val="single" w:color="5B8A3C" w:sz="1"/>
              <w:bottom w:val="single" w:color="5B8A3C" w:sz="1"/>
              <w:right w:val="single" w:color="5B8A3C" w:sz="1"/>
            </w:tcBorders>
            <w:shd w:fill="2D5016" w:val="clear"/>
            <w:tcMar>
              <w:top w:type="dxa" w:w="100"/>
              <w:left w:type="dxa" w:w="120"/>
              <w:bottom w:type="dxa" w:w="100"/>
              <w:right w:type="dxa" w:w="120"/>
            </w:tcMar>
            <w:vAlign w:val="center"/>
          </w:tcPr>
          <w:p>
            <w:pPr>
              <w:jc w:val="left"/>
            </w:pPr>
            <w:r>
              <w:rPr>
                <w:b/>
                <w:bCs/>
                <w:color w:val="FFFFFF"/>
                <w:sz w:val="20"/>
                <w:szCs w:val="20"/>
              </w:rPr>
              <w:t xml:space="preserve">Detail</w:t>
            </w:r>
          </w:p>
        </w:tc>
      </w:tr>
      <w:tr>
        <w:tc>
          <w:tcPr>
            <w:tcW w:type="dxa" w:w="46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Trucks carry cash OUT only</w:t>
            </w:r>
          </w:p>
        </w:tc>
        <w:tc>
          <w:tcPr>
            <w:tcW w:type="dxa" w:w="46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Never bring cash to a shop</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Float stays fixed</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₱2,000–2,500 at all times</w:t>
            </w:r>
          </w:p>
        </w:tc>
      </w:tr>
      <w:tr>
        <w:tc>
          <w:tcPr>
            <w:tcW w:type="dxa" w:w="46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Change top-up = local bank fix</w:t>
            </w:r>
          </w:p>
        </w:tc>
        <w:tc>
          <w:tcPr>
            <w:tcW w:type="dxa" w:w="46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Attendant exchanges at nearest branch</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Dual count at every drop</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Attendant + driver both sign</w:t>
            </w:r>
          </w:p>
        </w:tc>
      </w:tr>
      <w:tr>
        <w:tc>
          <w:tcPr>
            <w:tcW w:type="dxa" w:w="46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Sealed envelopes only</w:t>
            </w:r>
          </w:p>
        </w:tc>
        <w:tc>
          <w:tcPr>
            <w:tcW w:type="dxa" w:w="46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Pre-numbered, signed before handover</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GCash for all outgoing payments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No cash disbursements from float</w:t>
            </w:r>
          </w:p>
        </w:tc>
      </w:tr>
      <w:tr>
        <w:tc>
          <w:tcPr>
            <w:tcW w:type="dxa" w:w="46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Discrepancies flagged immediately</w:t>
            </w:r>
          </w:p>
        </w:tc>
        <w:tc>
          <w:tcPr>
            <w:tcW w:type="dxa" w:w="4680"/>
            <w:tcBorders>
              <w:top w:val="single" w:color="CCCCCC" w:sz="1"/>
              <w:left w:val="single" w:color="CCCCCC" w:sz="1"/>
              <w:bottom w:val="single" w:color="CCCCCC" w:sz="1"/>
              <w:right w:val="single" w:color="CCCCCC" w:sz="1"/>
            </w:tcBorders>
            <w:shd w:fill="F2F7EE" w:val="clear"/>
            <w:tcMar>
              <w:top w:type="dxa" w:w="80"/>
              <w:left w:type="dxa" w:w="120"/>
              <w:bottom w:type="dxa" w:w="80"/>
              <w:right w:type="dxa" w:w="120"/>
            </w:tcMar>
          </w:tcPr>
          <w:p>
            <w:r>
              <w:rPr>
                <w:sz w:val="20"/>
                <w:szCs w:val="20"/>
              </w:rPr>
              <w:t xml:space="preserve">Never adjusted to balance</w:t>
            </w:r>
          </w:p>
        </w:tc>
      </w:tr>
    </w:tbl>
    <w:p>
      <w:pPr>
        <w:spacing w:before="60" w:after="60"/>
      </w:pPr>
      <w:r>
        <w:t xml:space="preserve"/>
      </w:r>
    </w:p>
    <w:p>
      <w:pPr>
        <w:spacing w:before="60" w:after="60"/>
      </w:pPr>
      <w:r>
        <w:t xml:space="preserve"/>
      </w:r>
    </w:p>
    <w:p>
      <w:pPr>
        <w:pBdr>
          <w:top w:val="single" w:color="CCCCCC" w:sz="4" w:space="1"/>
        </w:pBdr>
        <w:spacing w:before="240" w:after="60"/>
        <w:jc w:val="center"/>
      </w:pPr>
      <w:r>
        <w:rPr>
          <w:i/>
          <w:iCs/>
          <w:color w:val="999999"/>
          <w:sz w:val="18"/>
          <w:szCs w:val="18"/>
        </w:rPr>
        <w:t xml:space="preserve">Nana Bambi's — Ragay, Camarines Sur, Bicol, Philippines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2D5016"/>
      <w:sz w:val="28"/>
      <w:szCs w:val="28"/>
    </w:rPr>
  </w:style>
  <w:style w:type="paragraph" w:styleId="Heading2">
    <w:name w:val="Heading 2"/>
    <w:basedOn w:val="Normal"/>
    <w:next w:val="Normal"/>
    <w:qFormat/>
    <w:pPr>
      <w:spacing w:before="280" w:after="80"/>
      <w:outlineLvl w:val="1"/>
    </w:pPr>
    <w:rPr>
      <w:rFonts w:ascii="Arial" w:cs="Arial" w:eastAsia="Arial" w:hAnsi="Arial"/>
      <w:b/>
      <w:bCs/>
      <w:color w:val="5B8A3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2026-03-09T18:34:13.716Z</dcterms:created>
  <dcterms:modified xsi:type="dcterms:W3CDTF">2026-03-09T18:34:13.717Z</dcterms:modified>
</cp:coreProperties>
</file>

<file path=docProps/custom.xml><?xml version="1.0" encoding="utf-8"?>
<Properties xmlns="http://schemas.openxmlformats.org/officeDocument/2006/custom-properties" xmlns:vt="http://schemas.openxmlformats.org/officeDocument/2006/docPropsVTypes"/>
</file>