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00"/>
              <w:left w:type="dxa" w:w="300"/>
              <w:bottom w:type="dxa" w:w="200"/>
              <w:right w:type="dxa" w:w="300"/>
            </w:tcMar>
          </w:tcPr>
          <w:p>
            <w:pPr>
              <w:jc w:val="center"/>
            </w:pPr>
            <w:r>
              <w:rPr>
                <w:rFonts w:ascii="Arial" w:cs="Arial" w:eastAsia="Arial" w:hAnsi="Arial"/>
                <w:b/>
                <w:bCs/>
                <w:color w:val="ffffff"/>
                <w:sz w:val="48"/>
                <w:szCs w:val="48"/>
              </w:rPr>
              <w:t xml:space="preserve">PUGOD iAVs SYSTEM</w:t>
            </w:r>
          </w:p>
          <w:p>
            <w:pPr>
              <w:spacing w:before="80"/>
              <w:jc w:val="center"/>
            </w:pPr>
            <w:r>
              <w:rPr>
                <w:rFonts w:ascii="Arial" w:cs="Arial" w:eastAsia="Arial" w:hAnsi="Arial"/>
                <w:color w:val="B8D4BC"/>
                <w:sz w:val="22"/>
                <w:szCs w:val="22"/>
              </w:rPr>
              <w:t xml:space="preserve">Grow Bed Media · Pond Stocking · Water Management · Valve Controls</w:t>
            </w:r>
          </w:p>
        </w:tc>
      </w:tr>
    </w:tbl>
    <w:p>
      <w:pPr>
        <w:spacing w:before="80" w:after="80"/>
      </w:pPr>
    </w:p>
    <w:p>
      <w:pPr>
        <w:spacing w:before="100" w:after="60"/>
        <w:jc w:val="center"/>
      </w:pPr>
      <w:r>
        <w:rPr>
          <w:rFonts w:ascii="Arial" w:cs="Arial" w:eastAsia="Arial" w:hAnsi="Arial"/>
          <w:i/>
          <w:iCs/>
          <w:color w:val="444444"/>
          <w:sz w:val="22"/>
          <w:szCs w:val="22"/>
        </w:rPr>
        <w:t xml:space="preserve">Integrated Aqua-Vegeculture System — Technical Operations Reference</w:t>
      </w:r>
    </w:p>
    <w:p>
      <w:pPr>
        <w:spacing w:before="0" w:after="300"/>
        <w:jc w:val="center"/>
      </w:pPr>
      <w:r>
        <w:rPr>
          <w:rFonts w:ascii="Arial" w:cs="Arial" w:eastAsia="Arial" w:hAnsi="Arial"/>
          <w:color w:val="888888"/>
          <w:sz w:val="20"/>
          <w:szCs w:val="20"/>
        </w:rPr>
        <w:t xml:space="preserve">Nana Bambi's Place  ·  Ragay, Camarines Sur, Bicol  ·  2025</w:t>
      </w: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1.  Grow Bed Media — Complete Specification</w:t>
      </w:r>
    </w:p>
    <w:p>
      <w:pPr>
        <w:spacing w:before="80" w:after="120"/>
      </w:pPr>
      <w:r>
        <w:rPr>
          <w:rFonts w:ascii="Arial" w:cs="Arial" w:eastAsia="Arial" w:hAnsi="Arial"/>
          <w:color w:val="1c1c1c"/>
          <w:sz w:val="22"/>
          <w:szCs w:val="22"/>
        </w:rPr>
        <w:t xml:space="preserve">The iAVs sand bed is a living biological system, not an inert growing medium. The sand provides structure; the microbial community that establishes within it does the productive work. Getting the media right at startup determines system performance for the life of the beds.</w:t>
      </w:r>
    </w:p>
    <w:p>
      <w:pPr>
        <w:spacing w:before="80" w:after="80"/>
      </w:pPr>
    </w:p>
    <w:p>
      <w:pPr>
        <w:pStyle w:val="Heading2"/>
        <w:spacing w:before="280" w:after="120"/>
      </w:pPr>
      <w:r>
        <w:rPr>
          <w:rFonts w:ascii="Arial" w:cs="Arial" w:eastAsia="Arial" w:hAnsi="Arial"/>
          <w:b/>
          <w:bCs/>
          <w:color w:val="4a7c59"/>
          <w:sz w:val="26"/>
          <w:szCs w:val="26"/>
        </w:rPr>
        <w:t xml:space="preserve">1.1  Sand Specification</w:t>
      </w:r>
    </w:p>
    <w:p>
      <w:pPr>
        <w:spacing w:before="80" w:after="120"/>
      </w:pPr>
      <w:r>
        <w:rPr>
          <w:rFonts w:ascii="Arial" w:cs="Arial" w:eastAsia="Arial" w:hAnsi="Arial"/>
          <w:color w:val="1c1c1c"/>
          <w:sz w:val="22"/>
          <w:szCs w:val="22"/>
        </w:rPr>
        <w:t xml:space="preserve">The single most critical material decision in the entire system. Wrong sand = system failure within 12 months regardless of everything else done correctly.</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480"/>
        <w:gridCol w:w="3680"/>
      </w:tblGrid>
      <w:tr>
        <w:tc>
          <w:tcPr>
            <w:tcW w:type="dxa" w:w="2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Parameter</w:t>
            </w:r>
          </w:p>
        </w:tc>
        <w:tc>
          <w:tcPr>
            <w:tcW w:type="dxa" w:w="348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Specification</w:t>
            </w:r>
          </w:p>
        </w:tc>
        <w:tc>
          <w:tcPr>
            <w:tcW w:type="dxa" w:w="368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Reason</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Grain size</w:t>
            </w:r>
          </w:p>
        </w:tc>
        <w:tc>
          <w:tcPr>
            <w:tcW w:type="dxa" w:w="348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0.4mm – 1.2mm (medium to coarse)</w:t>
            </w:r>
          </w:p>
        </w:tc>
        <w:tc>
          <w:tcPr>
            <w:tcW w:type="dxa" w:w="368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Optimal drainage, aeration, and microbial surface area</w:t>
            </w:r>
          </w:p>
        </w:tc>
      </w:tr>
      <w:tr>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Material</w:t>
            </w:r>
          </w:p>
        </w:tc>
        <w:tc>
          <w:tcPr>
            <w:tcW w:type="dxa" w:w="348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Crystalline quartz (silica) or hard basaltic volcanic sand</w:t>
            </w:r>
          </w:p>
        </w:tc>
        <w:tc>
          <w:tcPr>
            <w:tcW w:type="dxa" w:w="368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Chemical inertness, durability, no breakdown over time</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Carbonate content</w:t>
            </w:r>
          </w:p>
        </w:tc>
        <w:tc>
          <w:tcPr>
            <w:tcW w:type="dxa" w:w="348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Zero — must not fizz on vinegar test</w:t>
            </w:r>
          </w:p>
        </w:tc>
        <w:tc>
          <w:tcPr>
            <w:tcW w:type="dxa" w:w="368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High carbonates constantly push pH up, fights system chemistry</w:t>
            </w:r>
          </w:p>
        </w:tc>
      </w:tr>
      <w:tr>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Clay / silt content</w:t>
            </w:r>
          </w:p>
        </w:tc>
        <w:tc>
          <w:tcPr>
            <w:tcW w:type="dxa" w:w="348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None — zero tolerance</w:t>
            </w:r>
          </w:p>
        </w:tc>
        <w:tc>
          <w:tcPr>
            <w:tcW w:type="dxa" w:w="368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Clogs pores, causes anaerobic zones, kills system</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Turbidity</w:t>
            </w:r>
          </w:p>
        </w:tc>
        <w:tc>
          <w:tcPr>
            <w:tcW w:type="dxa" w:w="348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Clears within 60 seconds in jar test</w:t>
            </w:r>
          </w:p>
        </w:tc>
        <w:tc>
          <w:tcPr>
            <w:tcW w:type="dxa" w:w="368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Indicator of fines — slow clearing = fail</w:t>
            </w:r>
          </w:p>
        </w:tc>
      </w:tr>
      <w:tr>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Percolation</w:t>
            </w:r>
          </w:p>
        </w:tc>
        <w:tc>
          <w:tcPr>
            <w:tcW w:type="dxa" w:w="348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Drains rapidly — bucket test passes in under 2 minutes</w:t>
            </w:r>
          </w:p>
        </w:tc>
        <w:tc>
          <w:tcPr>
            <w:tcW w:type="dxa" w:w="368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Slow drainage = wrong sand</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Hardness</w:t>
            </w:r>
          </w:p>
        </w:tc>
        <w:tc>
          <w:tcPr>
            <w:tcW w:type="dxa" w:w="348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Angular grains preferred over rounded</w:t>
            </w:r>
          </w:p>
        </w:tc>
        <w:tc>
          <w:tcPr>
            <w:tcW w:type="dxa" w:w="368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Angular grains lock loosely — better air pockets between grains</w:t>
            </w:r>
          </w:p>
        </w:tc>
      </w:tr>
    </w:tbl>
    <w:p>
      <w:pPr>
        <w:spacing w:before="80" w:after="80"/>
      </w:pPr>
    </w:p>
    <w:p>
      <w:pPr>
        <w:pStyle w:val="Heading2"/>
        <w:spacing w:before="280" w:after="120"/>
      </w:pPr>
      <w:r>
        <w:rPr>
          <w:rFonts w:ascii="Arial" w:cs="Arial" w:eastAsia="Arial" w:hAnsi="Arial"/>
          <w:b/>
          <w:bCs/>
          <w:color w:val="4a7c59"/>
          <w:sz w:val="26"/>
          <w:szCs w:val="26"/>
        </w:rPr>
        <w:t xml:space="preserve">1.2  Volcanic Sand from Legazpi — Assessment</w:t>
      </w:r>
    </w:p>
    <w:p>
      <w:pPr>
        <w:spacing w:before="80" w:after="120"/>
      </w:pPr>
      <w:r>
        <w:rPr>
          <w:rFonts w:ascii="Arial" w:cs="Arial" w:eastAsia="Arial" w:hAnsi="Arial"/>
          <w:color w:val="1c1c1c"/>
          <w:sz w:val="22"/>
          <w:szCs w:val="22"/>
        </w:rPr>
        <w:t xml:space="preserve">Basaltic volcanic sand from the Mayon footings in Legazpi / Albay is a strong candidate and may outperform standard silica sand over time.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tcMar>
              <w:top w:type="dxa" w:w="60"/>
              <w:left w:type="dxa" w:w="0"/>
              <w:bottom w:type="dxa" w:w="60"/>
              <w:right w:type="dxa" w:w="200"/>
            </w:tcMar>
          </w:tcPr>
          <w:p>
            <w:pPr>
              <w:spacing w:before="60" w:after="60"/>
            </w:pPr>
            <w:r>
              <w:rPr>
                <w:rFonts w:ascii="Arial" w:cs="Arial" w:eastAsia="Arial" w:hAnsi="Arial"/>
                <w:b/>
                <w:bCs/>
                <w:color w:val="2d5a38"/>
                <w:sz w:val="22"/>
                <w:szCs w:val="22"/>
              </w:rPr>
              <w:t xml:space="preserve">Advantages</w:t>
            </w:r>
          </w:p>
          <w:p>
            <w:pPr>
              <w:pStyle w:val="ListParagraph"/>
              <w:numPr>
                <w:ilvl w:val="0"/>
                <w:numId w:val="2"/>
              </w:numPr>
              <w:spacing w:before="60" w:after="60"/>
            </w:pPr>
            <w:r>
              <w:rPr>
                <w:rFonts w:ascii="Arial" w:cs="Arial" w:eastAsia="Arial" w:hAnsi="Arial"/>
                <w:color w:val="1c1c1c"/>
                <w:sz w:val="22"/>
                <w:szCs w:val="22"/>
              </w:rPr>
              <w:t xml:space="preserve">Angular grain structure by nature — superior air pockets</w:t>
            </w:r>
          </w:p>
          <w:p>
            <w:pPr>
              <w:pStyle w:val="ListParagraph"/>
              <w:numPr>
                <w:ilvl w:val="0"/>
                <w:numId w:val="2"/>
              </w:numPr>
              <w:spacing w:before="60" w:after="60"/>
            </w:pPr>
            <w:r>
              <w:rPr>
                <w:rFonts w:ascii="Arial" w:cs="Arial" w:eastAsia="Arial" w:hAnsi="Arial"/>
                <w:color w:val="1c1c1c"/>
                <w:sz w:val="22"/>
                <w:szCs w:val="22"/>
              </w:rPr>
              <w:t xml:space="preserve">Zero carbonate content — no pH fight</w:t>
            </w:r>
          </w:p>
          <w:p>
            <w:pPr>
              <w:pStyle w:val="ListParagraph"/>
              <w:numPr>
                <w:ilvl w:val="0"/>
                <w:numId w:val="2"/>
              </w:numPr>
              <w:spacing w:before="60" w:after="60"/>
            </w:pPr>
            <w:r>
              <w:rPr>
                <w:rFonts w:ascii="Arial" w:cs="Arial" w:eastAsia="Arial" w:hAnsi="Arial"/>
                <w:color w:val="1c1c1c"/>
                <w:sz w:val="22"/>
                <w:szCs w:val="22"/>
              </w:rPr>
              <w:t xml:space="preserve">Richer mineral base (iron, magnesium, calcium, trace elements)</w:t>
            </w:r>
          </w:p>
          <w:p>
            <w:pPr>
              <w:pStyle w:val="ListParagraph"/>
              <w:numPr>
                <w:ilvl w:val="0"/>
                <w:numId w:val="2"/>
              </w:numPr>
              <w:spacing w:before="60" w:after="60"/>
            </w:pPr>
            <w:r>
              <w:rPr>
                <w:rFonts w:ascii="Arial" w:cs="Arial" w:eastAsia="Arial" w:hAnsi="Arial"/>
                <w:color w:val="1c1c1c"/>
                <w:sz w:val="22"/>
                <w:szCs w:val="22"/>
              </w:rPr>
              <w:t xml:space="preserve">More diverse microbial habitat long-term</w:t>
            </w:r>
          </w:p>
          <w:p>
            <w:pPr>
              <w:pStyle w:val="ListParagraph"/>
              <w:numPr>
                <w:ilvl w:val="0"/>
                <w:numId w:val="2"/>
              </w:numPr>
              <w:spacing w:before="60" w:after="60"/>
            </w:pPr>
            <w:r>
              <w:rPr>
                <w:rFonts w:ascii="Arial" w:cs="Arial" w:eastAsia="Arial" w:hAnsi="Arial"/>
                <w:color w:val="1c1c1c"/>
                <w:sz w:val="22"/>
                <w:szCs w:val="22"/>
              </w:rPr>
              <w:t xml:space="preserve">Locally abundant — lowest cost option in Bicol</w:t>
            </w:r>
          </w:p>
          <w:p>
            <w:pPr>
              <w:pStyle w:val="ListParagraph"/>
              <w:numPr>
                <w:ilvl w:val="0"/>
                <w:numId w:val="2"/>
              </w:numPr>
              <w:spacing w:before="60" w:after="60"/>
            </w:pPr>
            <w:r>
              <w:rPr>
                <w:rFonts w:ascii="Arial" w:cs="Arial" w:eastAsia="Arial" w:hAnsi="Arial"/>
                <w:color w:val="1c1c1c"/>
                <w:sz w:val="22"/>
                <w:szCs w:val="22"/>
              </w:rPr>
              <w:t xml:space="preserve">Already adapted to local rainfall and temperature</w:t>
            </w:r>
          </w:p>
        </w:tc>
        <w:tc>
          <w:tcPr>
            <w:tcW w:type="dxa" w:w="4740"/>
            <w:tcBorders>
              <w:top w:val="none" w:color="ffffff" w:sz="0"/>
              <w:left w:val="none" w:color="ffffff" w:sz="0"/>
              <w:bottom w:val="none" w:color="ffffff" w:sz="0"/>
              <w:right w:val="none" w:color="ffffff" w:sz="0"/>
            </w:tcBorders>
            <w:tcMar>
              <w:top w:type="dxa" w:w="60"/>
              <w:left w:type="dxa" w:w="200"/>
              <w:bottom w:type="dxa" w:w="60"/>
              <w:right w:type="dxa" w:w="0"/>
            </w:tcMar>
          </w:tcPr>
          <w:p>
            <w:pPr>
              <w:spacing w:before="60" w:after="60"/>
            </w:pPr>
            <w:r>
              <w:rPr>
                <w:rFonts w:ascii="Arial" w:cs="Arial" w:eastAsia="Arial" w:hAnsi="Arial"/>
                <w:b/>
                <w:bCs/>
                <w:color w:val="bf7f00"/>
                <w:sz w:val="22"/>
                <w:szCs w:val="22"/>
              </w:rPr>
              <w:t xml:space="preserve">One flag to check</w:t>
            </w:r>
          </w:p>
          <w:p>
            <w:pPr>
              <w:pStyle w:val="ListParagraph"/>
              <w:numPr>
                <w:ilvl w:val="0"/>
                <w:numId w:val="2"/>
              </w:numPr>
              <w:spacing w:before="60" w:after="60"/>
            </w:pPr>
            <w:r>
              <w:rPr>
                <w:rFonts w:ascii="Arial" w:cs="Arial" w:eastAsia="Arial" w:hAnsi="Arial"/>
                <w:color w:val="1c1c1c"/>
                <w:sz w:val="22"/>
                <w:szCs w:val="22"/>
              </w:rPr>
              <w:t xml:space="preserve">Active volcano proximity — test for heavy metals before use</w:t>
            </w:r>
          </w:p>
          <w:p>
            <w:pPr>
              <w:pStyle w:val="ListParagraph"/>
              <w:numPr>
                <w:ilvl w:val="0"/>
                <w:numId w:val="2"/>
              </w:numPr>
              <w:spacing w:before="60" w:after="60"/>
            </w:pPr>
            <w:r>
              <w:rPr>
                <w:rFonts w:ascii="Arial" w:cs="Arial" w:eastAsia="Arial" w:hAnsi="Arial"/>
                <w:color w:val="1c1c1c"/>
                <w:sz w:val="22"/>
                <w:szCs w:val="22"/>
              </w:rPr>
              <w:t xml:space="preserve">One lab test from Naga or Legazpi settles it permanently</w:t>
            </w:r>
          </w:p>
          <w:p>
            <w:pPr>
              <w:pStyle w:val="ListParagraph"/>
              <w:numPr>
                <w:ilvl w:val="0"/>
                <w:numId w:val="2"/>
              </w:numPr>
              <w:spacing w:before="60" w:after="60"/>
            </w:pPr>
            <w:r>
              <w:rPr>
                <w:rFonts w:ascii="Arial" w:cs="Arial" w:eastAsia="Arial" w:hAnsi="Arial"/>
                <w:color w:val="1c1c1c"/>
                <w:sz w:val="22"/>
                <w:szCs w:val="22"/>
              </w:rPr>
              <w:t xml:space="preserve">Parameters: arsenic, lead, cadmium, mercury</w:t>
            </w:r>
          </w:p>
          <w:p>
            <w:pPr>
              <w:pStyle w:val="ListParagraph"/>
              <w:numPr>
                <w:ilvl w:val="0"/>
                <w:numId w:val="2"/>
              </w:numPr>
              <w:spacing w:before="60" w:after="60"/>
            </w:pPr>
            <w:r>
              <w:rPr>
                <w:rFonts w:ascii="Arial" w:cs="Arial" w:eastAsia="Arial" w:hAnsi="Arial"/>
                <w:color w:val="1c1c1c"/>
                <w:sz w:val="22"/>
                <w:szCs w:val="22"/>
              </w:rPr>
              <w:t xml:space="preserve">If test is clean — use volcanic sand. It is the better long-term medium.</w:t>
            </w:r>
          </w:p>
          <w:p>
            <w:pPr>
              <w:spacing w:before="80" w:after="80"/>
            </w:pPr>
          </w:p>
          <w:p>
            <w:pPr>
              <w:spacing w:before="60" w:after="60"/>
            </w:pPr>
            <w:r>
              <w:rPr>
                <w:rFonts w:ascii="Arial" w:cs="Arial" w:eastAsia="Arial" w:hAnsi="Arial"/>
                <w:b/>
                <w:bCs/>
                <w:color w:val="4a7c59"/>
                <w:sz w:val="22"/>
                <w:szCs w:val="22"/>
              </w:rPr>
              <w:t xml:space="preserve">Fallback — silica sand</w:t>
            </w:r>
          </w:p>
          <w:p>
            <w:pPr>
              <w:pStyle w:val="ListParagraph"/>
              <w:numPr>
                <w:ilvl w:val="0"/>
                <w:numId w:val="2"/>
              </w:numPr>
              <w:spacing w:before="60" w:after="60"/>
            </w:pPr>
            <w:r>
              <w:rPr>
                <w:rFonts w:ascii="Arial" w:cs="Arial" w:eastAsia="Arial" w:hAnsi="Arial"/>
                <w:color w:val="1c1c1c"/>
                <w:sz w:val="22"/>
                <w:szCs w:val="22"/>
              </w:rPr>
              <w:t xml:space="preserve">Vital Resource Enterprise — coarse filtration grade</w:t>
            </w:r>
          </w:p>
          <w:p>
            <w:pPr>
              <w:pStyle w:val="ListParagraph"/>
              <w:numPr>
                <w:ilvl w:val="0"/>
                <w:numId w:val="2"/>
              </w:numPr>
              <w:spacing w:before="60" w:after="60"/>
            </w:pPr>
            <w:r>
              <w:rPr>
                <w:rFonts w:ascii="Arial" w:cs="Arial" w:eastAsia="Arial" w:hAnsi="Arial"/>
                <w:color w:val="1c1c1c"/>
                <w:sz w:val="22"/>
                <w:szCs w:val="22"/>
              </w:rPr>
              <w:t xml:space="preserve">Contact: 0917-504-2406 (Viber)</w:t>
            </w:r>
          </w:p>
          <w:p>
            <w:pPr>
              <w:pStyle w:val="ListParagraph"/>
              <w:numPr>
                <w:ilvl w:val="0"/>
                <w:numId w:val="2"/>
              </w:numPr>
              <w:spacing w:before="60" w:after="60"/>
            </w:pPr>
            <w:r>
              <w:rPr>
                <w:rFonts w:ascii="Arial" w:cs="Arial" w:eastAsia="Arial" w:hAnsi="Arial"/>
                <w:color w:val="1c1c1c"/>
                <w:sz w:val="22"/>
                <w:szCs w:val="22"/>
              </w:rPr>
              <w:t xml:space="preserve">Delivers to Naga / Camarines Sur</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bf7f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FIELD TESTS</w:t>
            </w:r>
          </w:p>
        </w:tc>
        <w:tc>
          <w:tcPr>
            <w:tcW w:type="dxa" w:w="8160"/>
            <w:tcBorders>
              <w:top w:val="single" w:color="cdd8ce" w:sz="1"/>
              <w:left w:val="single" w:color="cdd8ce" w:sz="1"/>
              <w:bottom w:val="single" w:color="cdd8ce" w:sz="1"/>
              <w:right w:val="single" w:color="cdd8ce" w:sz="1"/>
            </w:tcBorders>
            <w:shd w:fill="FFF8E1" w:val="clear"/>
            <w:tcMar>
              <w:top w:type="dxa" w:w="100"/>
              <w:left w:type="dxa" w:w="160"/>
              <w:bottom w:type="dxa" w:w="100"/>
              <w:right w:type="dxa" w:w="160"/>
            </w:tcMar>
          </w:tcPr>
          <w:p>
            <w:r>
              <w:rPr>
                <w:rFonts w:ascii="Arial" w:cs="Arial" w:eastAsia="Arial" w:hAnsi="Arial"/>
                <w:color w:val="1c1c1c"/>
                <w:sz w:val="22"/>
                <w:szCs w:val="22"/>
              </w:rPr>
              <w:t xml:space="preserve">Run all three on any sand before committing to a full delivery: (1) Vinegar test — no fizz. (2) Jar turbidity — clears in 60 seconds. (3) Bucket percolation — drains in under 2 minutes. All three must pass.</w:t>
            </w:r>
          </w:p>
        </w:tc>
      </w:tr>
    </w:tbl>
    <w:p>
      <w:pPr>
        <w:spacing w:before="80" w:after="80"/>
      </w:pPr>
    </w:p>
    <w:p>
      <w:pPr>
        <w:pStyle w:val="Heading2"/>
        <w:spacing w:before="280" w:after="120"/>
      </w:pPr>
      <w:r>
        <w:rPr>
          <w:rFonts w:ascii="Arial" w:cs="Arial" w:eastAsia="Arial" w:hAnsi="Arial"/>
          <w:b/>
          <w:bCs/>
          <w:color w:val="4a7c59"/>
          <w:sz w:val="26"/>
          <w:szCs w:val="26"/>
        </w:rPr>
        <w:t xml:space="preserve">1.3  Complete Media Bill of Materials — Per IBC Half-Tank</w:t>
      </w:r>
    </w:p>
    <w:p>
      <w:pPr>
        <w:spacing w:before="80" w:after="120"/>
      </w:pPr>
      <w:r>
        <w:rPr>
          <w:rFonts w:ascii="Arial" w:cs="Arial" w:eastAsia="Arial" w:hAnsi="Arial"/>
          <w:color w:val="1c1c1c"/>
          <w:sz w:val="22"/>
          <w:szCs w:val="22"/>
        </w:rPr>
        <w:t xml:space="preserve">One standard IBC tank cut in half yields two grow beds. Each bed holds approximately 480 litres of sand at 400mm depth.</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200"/>
        <w:gridCol w:w="2160"/>
        <w:gridCol w:w="2200"/>
      </w:tblGrid>
      <w:tr>
        <w:tc>
          <w:tcPr>
            <w:tcW w:type="dxa" w:w="2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Material</w:t>
            </w:r>
          </w:p>
        </w:tc>
        <w:tc>
          <w:tcPr>
            <w:tcW w:type="dxa" w:w="16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Quantity per bed</w:t>
            </w:r>
          </w:p>
        </w:tc>
        <w:tc>
          <w:tcPr>
            <w:tcW w:type="dxa" w:w="1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Depth</w:t>
            </w:r>
          </w:p>
        </w:tc>
        <w:tc>
          <w:tcPr>
            <w:tcW w:type="dxa" w:w="21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Source</w:t>
            </w:r>
          </w:p>
        </w:tc>
        <w:tc>
          <w:tcPr>
            <w:tcW w:type="dxa" w:w="2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Notes</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Coarse silica or volcanic sand</w:t>
            </w:r>
          </w:p>
        </w:tc>
        <w:tc>
          <w:tcPr>
            <w:tcW w:type="dxa" w:w="1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~350L</w:t>
            </w:r>
          </w:p>
        </w:tc>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300–400mm</w:t>
            </w:r>
          </w:p>
        </w:tc>
        <w:tc>
          <w:tcPr>
            <w:tcW w:type="dxa" w:w="21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Vital Resource / Legazpi quarry / Pugod river</w:t>
            </w:r>
          </w:p>
        </w:tc>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Must pass all three field tests first</w:t>
            </w:r>
          </w:p>
        </w:tc>
      </w:tr>
      <w:tr>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River gravel 10–20mm</w:t>
            </w:r>
          </w:p>
        </w:tc>
        <w:tc>
          <w:tcPr>
            <w:tcW w:type="dxa" w:w="1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~25L</w:t>
            </w:r>
          </w:p>
        </w:tc>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50mm base layer</w:t>
            </w:r>
          </w:p>
        </w:tc>
        <w:tc>
          <w:tcPr>
            <w:tcW w:type="dxa" w:w="21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Pugod river bed — free</w:t>
            </w:r>
          </w:p>
        </w:tc>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Free-draining zone at bed floor, prevents sand loss</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Shade cloth squares</w:t>
            </w:r>
          </w:p>
        </w:tc>
        <w:tc>
          <w:tcPr>
            <w:tcW w:type="dxa" w:w="1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1 per drain hole</w:t>
            </w:r>
          </w:p>
        </w:tc>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t>
            </w:r>
          </w:p>
        </w:tc>
        <w:tc>
          <w:tcPr>
            <w:tcW w:type="dxa" w:w="21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Off-cuts from hoop house cloth</w:t>
            </w:r>
          </w:p>
        </w:tc>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Cover drain holes inside before gravel layer</w:t>
            </w:r>
          </w:p>
        </w:tc>
      </w:tr>
      <w:tr>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Taro pond inoculant water</w:t>
            </w:r>
          </w:p>
        </w:tc>
        <w:tc>
          <w:tcPr>
            <w:tcW w:type="dxa" w:w="1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flush only</w:t>
            </w:r>
          </w:p>
        </w:tc>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t>
            </w:r>
          </w:p>
        </w:tc>
        <w:tc>
          <w:tcPr>
            <w:tcW w:type="dxa" w:w="21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Existing taro beds on Pugod land</w:t>
            </w:r>
          </w:p>
        </w:tc>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Seeds the entire bed with locally-adapted microbial community</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Compost / forest soil (backup)</w:t>
            </w:r>
          </w:p>
        </w:tc>
        <w:tc>
          <w:tcPr>
            <w:tcW w:type="dxa" w:w="1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2–3 tbsp in furrows</w:t>
            </w:r>
          </w:p>
        </w:tc>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Surface only</w:t>
            </w:r>
          </w:p>
        </w:tc>
        <w:tc>
          <w:tcPr>
            <w:tcW w:type="dxa" w:w="21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Family compost or Pugod forest floor</w:t>
            </w:r>
          </w:p>
        </w:tc>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Only needed if taro pond water unavailable at startup</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INOCULATION ADVANTAGE</w:t>
            </w:r>
          </w:p>
        </w:tc>
        <w:tc>
          <w:tcPr>
            <w:tcW w:type="dxa" w:w="81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Flushing taro pond water through fresh sand beds on first fill seeds the entire bed volume with a mature, locally-adapted microbial community in a single pass. This reduces system cycling time from the standard 9–12 weeks to approximately 4–6 weeks. The organisms are already living in Ragay water at Bicol temperatures — no adaptation lag.</w:t>
            </w:r>
          </w:p>
        </w:tc>
      </w:tr>
    </w:tbl>
    <w:p>
      <w:pPr>
        <w:spacing w:before="80" w:after="80"/>
      </w:pPr>
    </w:p>
    <w:p>
      <w:pPr>
        <w:pStyle w:val="Heading2"/>
        <w:spacing w:before="280" w:after="120"/>
      </w:pPr>
      <w:r>
        <w:rPr>
          <w:rFonts w:ascii="Arial" w:cs="Arial" w:eastAsia="Arial" w:hAnsi="Arial"/>
          <w:b/>
          <w:bCs/>
          <w:color w:val="4a7c59"/>
          <w:sz w:val="26"/>
          <w:szCs w:val="26"/>
        </w:rPr>
        <w:t xml:space="preserve">1.4  IBC Bed Setup Sequence</w:t>
      </w:r>
    </w:p>
    <w:p>
      <w:pPr>
        <w:spacing w:before="80" w:after="120"/>
      </w:pPr>
      <w:r>
        <w:rPr>
          <w:rFonts w:ascii="Arial" w:cs="Arial" w:eastAsia="Arial" w:hAnsi="Arial"/>
          <w:color w:val="1c1c1c"/>
          <w:sz w:val="22"/>
          <w:szCs w:val="22"/>
        </w:rPr>
        <w:t xml:space="preserve">Complete these steps in order before any water or plants enter the system.</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000"/>
        <w:gridCol w:w="6560"/>
      </w:tblGrid>
      <w:tr>
        <w:tc>
          <w:tcPr>
            <w:tcW w:type="dxa" w:w="8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Step</w:t>
            </w:r>
          </w:p>
        </w:tc>
        <w:tc>
          <w:tcPr>
            <w:tcW w:type="dxa" w:w="20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w:t>
            </w:r>
          </w:p>
        </w:tc>
        <w:tc>
          <w:tcPr>
            <w:tcW w:type="dxa" w:w="65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Detail</w:t>
            </w:r>
          </w:p>
        </w:tc>
      </w:tr>
      <w:tr>
        <w:tc>
          <w:tcPr>
            <w:tcW w:type="dxa" w:w="8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1</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Drill drain holes</w:t>
            </w:r>
          </w:p>
        </w:tc>
        <w:tc>
          <w:tcPr>
            <w:tcW w:type="dxa" w:w="6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Row of 20–25mm holes along base centreline — every 200–300mm. Multiple holes eliminate need for bed tilt and ensure even drainage across full bed length.</w:t>
            </w:r>
          </w:p>
        </w:tc>
      </w:tr>
      <w:tr>
        <w:tc>
          <w:tcPr>
            <w:tcW w:type="dxa" w:w="8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2</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Cover drain holes</w:t>
            </w:r>
          </w:p>
        </w:tc>
        <w:tc>
          <w:tcPr>
            <w:tcW w:type="dxa" w:w="6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Shade cloth square over each hole inside the bed. NOT weed mat or geo-fabric — these clog. Shade cloth only.</w:t>
            </w:r>
          </w:p>
        </w:tc>
      </w:tr>
      <w:tr>
        <w:tc>
          <w:tcPr>
            <w:tcW w:type="dxa" w:w="8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3</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Gravel base layer</w:t>
            </w:r>
          </w:p>
        </w:tc>
        <w:tc>
          <w:tcPr>
            <w:tcW w:type="dxa" w:w="6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50mm of 10–20mm river gravel across full floor on top of shade cloth. Free-draining buffer zone between sand and drain holes.</w:t>
            </w:r>
          </w:p>
        </w:tc>
      </w:tr>
      <w:tr>
        <w:tc>
          <w:tcPr>
            <w:tcW w:type="dxa" w:w="8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4</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Set on drain tray</w:t>
            </w:r>
          </w:p>
        </w:tc>
        <w:tc>
          <w:tcPr>
            <w:tcW w:type="dxa" w:w="6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Dead flat — no shimming required due to multiple drain holes. Bolt or strap down. Wet sand load = 350–400kg per bed. Verify drain tray structure carries this.</w:t>
            </w:r>
          </w:p>
        </w:tc>
      </w:tr>
      <w:tr>
        <w:tc>
          <w:tcPr>
            <w:tcW w:type="dxa" w:w="8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5</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Fill with sand</w:t>
            </w:r>
          </w:p>
        </w:tc>
        <w:tc>
          <w:tcPr>
            <w:tcW w:type="dxa" w:w="6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Fill to 400mm depth above gravel. Flood with water to settle and level. Drain fully before next step.</w:t>
            </w:r>
          </w:p>
        </w:tc>
      </w:tr>
      <w:tr>
        <w:tc>
          <w:tcPr>
            <w:tcW w:type="dxa" w:w="8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6</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Form ridges and furrows</w:t>
            </w:r>
          </w:p>
        </w:tc>
        <w:tc>
          <w:tcPr>
            <w:tcW w:type="dxa" w:w="6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Raised ridges ~100mm wide for planting — plant crowns stay dry. Shallow furrows ~50mm wide between ridges for water distribution and detritus accumulation. Use a straight board to form them.</w:t>
            </w:r>
          </w:p>
        </w:tc>
      </w:tr>
      <w:tr>
        <w:tc>
          <w:tcPr>
            <w:tcW w:type="dxa" w:w="8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7</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Install feed manifold</w:t>
            </w:r>
          </w:p>
        </w:tc>
        <w:tc>
          <w:tcPr>
            <w:tcW w:type="dxa" w:w="6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Perforated PVC pipe along inlet end distributing water across full bed width. Drill holes every 150mm. Without this water channels to one side and far end stays dry.</w:t>
            </w:r>
          </w:p>
        </w:tc>
      </w:tr>
      <w:tr>
        <w:tc>
          <w:tcPr>
            <w:tcW w:type="dxa" w:w="8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8</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inoculation flush</w:t>
            </w:r>
          </w:p>
        </w:tc>
        <w:tc>
          <w:tcPr>
            <w:tcW w:type="dxa" w:w="6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Open taro pond water line. Slow flood through furrows. Full percolation through sand depth and out drain holes. One pass seeds the entire bed.</w:t>
            </w:r>
          </w:p>
        </w:tc>
      </w:tr>
      <w:tr>
        <w:tc>
          <w:tcPr>
            <w:tcW w:type="dxa" w:w="8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9</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Pre-plant cycle</w:t>
            </w:r>
          </w:p>
        </w:tc>
        <w:tc>
          <w:tcPr>
            <w:tcW w:type="dxa" w:w="6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Run system 7–10 days before planting. Check drain water clarity — should clear from slightly turbid on day 1 to visually clear by day 7–10. Clear = biofilter establishing correctly.</w:t>
            </w:r>
          </w:p>
        </w:tc>
      </w:tr>
      <w:tr>
        <w:tc>
          <w:tcPr>
            <w:tcW w:type="dxa" w:w="8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10</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Plant first crops</w:t>
            </w:r>
          </w:p>
        </w:tc>
        <w:tc>
          <w:tcPr>
            <w:tcW w:type="dxa" w:w="6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Fast-cycle leafy crops first (pechay, mustard, kangkong). Visual feedback in 3 weeks tells you if the system is balanced. Tomatoes and root vegetables once system is confirmed stable.</w:t>
            </w:r>
          </w:p>
        </w:tc>
      </w:tr>
    </w:tbl>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2.  Pond Stocking — Tilapia &amp; System Ratios</w:t>
      </w:r>
    </w:p>
    <w:p>
      <w:pPr>
        <w:spacing w:before="80" w:after="80"/>
      </w:pPr>
    </w:p>
    <w:p>
      <w:pPr>
        <w:pStyle w:val="Heading2"/>
        <w:spacing w:before="280" w:after="120"/>
      </w:pPr>
      <w:r>
        <w:rPr>
          <w:rFonts w:ascii="Arial" w:cs="Arial" w:eastAsia="Arial" w:hAnsi="Arial"/>
          <w:b/>
          <w:bCs/>
          <w:color w:val="4a7c59"/>
          <w:sz w:val="26"/>
          <w:szCs w:val="26"/>
        </w:rPr>
        <w:t xml:space="preserve">2.1  The Fundamental Ratio — Fish Tank to Sand Bed Volume</w:t>
      </w:r>
    </w:p>
    <w:p>
      <w:pPr>
        <w:spacing w:before="80" w:after="120"/>
      </w:pPr>
      <w:r>
        <w:rPr>
          <w:rFonts w:ascii="Arial" w:cs="Arial" w:eastAsia="Arial" w:hAnsi="Arial"/>
          <w:color w:val="1c1c1c"/>
          <w:sz w:val="22"/>
          <w:szCs w:val="22"/>
        </w:rPr>
        <w:t xml:space="preserve">This is the non-negotiable design parameter the entire system is built around. All other numbers flow from it.</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1565c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1:2 RATIO</w:t>
            </w:r>
          </w:p>
        </w:tc>
        <w:tc>
          <w:tcPr>
            <w:tcW w:type="dxa" w:w="8160"/>
            <w:tcBorders>
              <w:top w:val="single" w:color="cdd8ce" w:sz="1"/>
              <w:left w:val="single" w:color="cdd8ce" w:sz="1"/>
              <w:bottom w:val="single" w:color="cdd8ce" w:sz="1"/>
              <w:right w:val="single" w:color="cdd8ce" w:sz="1"/>
            </w:tcBorders>
            <w:shd w:fill="E3F2FD" w:val="clear"/>
            <w:tcMar>
              <w:top w:type="dxa" w:w="100"/>
              <w:left w:type="dxa" w:w="160"/>
              <w:bottom w:type="dxa" w:w="100"/>
              <w:right w:type="dxa" w:w="160"/>
            </w:tcMar>
          </w:tcPr>
          <w:p>
            <w:r>
              <w:rPr>
                <w:rFonts w:ascii="Arial" w:cs="Arial" w:eastAsia="Arial" w:hAnsi="Arial"/>
                <w:color w:val="1c1c1c"/>
                <w:sz w:val="22"/>
                <w:szCs w:val="22"/>
              </w:rPr>
              <w:t xml:space="preserve">For every 1 litre of fish tank volume, the system requires 2 litres of sand bed volume. This is the researched minimum. Err toward more bed volume, not less — systems with higher biofilter ratios consistently show better water quality and fish growth rates.</w:t>
            </w:r>
          </w:p>
        </w:tc>
      </w:tr>
    </w:tbl>
    <w:p>
      <w:pPr>
        <w:spacing w:before="80" w:after="80"/>
      </w:pPr>
    </w:p>
    <w:p>
      <w:pPr>
        <w:spacing w:before="80" w:after="120"/>
      </w:pPr>
      <w:r>
        <w:rPr>
          <w:rFonts w:ascii="Arial" w:cs="Arial" w:eastAsia="Arial" w:hAnsi="Arial"/>
          <w:color w:val="1c1c1c"/>
          <w:sz w:val="22"/>
          <w:szCs w:val="22"/>
        </w:rPr>
        <w:t xml:space="preserve">Applied to the Pugod 5,000L main tilapia pond:</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c>
          <w:tcPr>
            <w:tcW w:type="dxa" w:w="3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Component</w:t>
            </w:r>
          </w:p>
        </w:tc>
        <w:tc>
          <w:tcPr>
            <w:tcW w:type="dxa" w:w="24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Volume</w:t>
            </w:r>
          </w:p>
        </w:tc>
        <w:tc>
          <w:tcPr>
            <w:tcW w:type="dxa" w:w="37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Calculation</w:t>
            </w:r>
          </w:p>
        </w:tc>
      </w:tr>
      <w:tr>
        <w:tc>
          <w:tcPr>
            <w:tcW w:type="dxa" w:w="3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Main tilapia pond</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5,000L</w:t>
            </w:r>
          </w:p>
        </w:tc>
        <w:tc>
          <w:tcPr>
            <w:tcW w:type="dxa" w:w="3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t>
            </w:r>
          </w:p>
        </w:tc>
      </w:tr>
      <w:tr>
        <w:tc>
          <w:tcPr>
            <w:tcW w:type="dxa" w:w="3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Sand bed volume required (minimum)</w:t>
            </w:r>
          </w:p>
        </w:tc>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10,000L</w:t>
            </w:r>
          </w:p>
        </w:tc>
        <w:tc>
          <w:tcPr>
            <w:tcW w:type="dxa" w:w="3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5,000L × 2</w:t>
            </w:r>
          </w:p>
        </w:tc>
      </w:tr>
      <w:tr>
        <w:tc>
          <w:tcPr>
            <w:tcW w:type="dxa" w:w="3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Each IBC half at 400mm sand depth</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~480L</w:t>
            </w:r>
          </w:p>
        </w:tc>
        <w:tc>
          <w:tcPr>
            <w:tcW w:type="dxa" w:w="3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Standard IBC half-tank</w:t>
            </w:r>
          </w:p>
        </w:tc>
      </w:tr>
      <w:tr>
        <w:tc>
          <w:tcPr>
            <w:tcW w:type="dxa" w:w="3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IBC beds required at full pond load</w:t>
            </w:r>
          </w:p>
        </w:tc>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21 beds</w:t>
            </w:r>
          </w:p>
        </w:tc>
        <w:tc>
          <w:tcPr>
            <w:tcW w:type="dxa" w:w="3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10,000L ÷ 480L</w:t>
            </w:r>
          </w:p>
        </w:tc>
      </w:tr>
      <w:tr>
        <w:tc>
          <w:tcPr>
            <w:tcW w:type="dxa" w:w="3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IBC beds for proof of concept (Stage 1)</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4–5 beds</w:t>
            </w:r>
          </w:p>
        </w:tc>
        <w:tc>
          <w:tcPr>
            <w:tcW w:type="dxa" w:w="3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Partial stocking — see staged approach below</w:t>
            </w:r>
          </w:p>
        </w:tc>
      </w:tr>
    </w:tbl>
    <w:p>
      <w:pPr>
        <w:spacing w:before="80" w:after="80"/>
      </w:pPr>
    </w:p>
    <w:p>
      <w:pPr>
        <w:pStyle w:val="Heading2"/>
        <w:spacing w:before="280" w:after="120"/>
      </w:pPr>
      <w:r>
        <w:rPr>
          <w:rFonts w:ascii="Arial" w:cs="Arial" w:eastAsia="Arial" w:hAnsi="Arial"/>
          <w:b/>
          <w:bCs/>
          <w:color w:val="4a7c59"/>
          <w:sz w:val="26"/>
          <w:szCs w:val="26"/>
        </w:rPr>
        <w:t xml:space="preserve">2.2  Staged Stocking Approach</w:t>
      </w:r>
    </w:p>
    <w:p>
      <w:pPr>
        <w:spacing w:before="80" w:after="120"/>
      </w:pPr>
      <w:r>
        <w:rPr>
          <w:rFonts w:ascii="Arial" w:cs="Arial" w:eastAsia="Arial" w:hAnsi="Arial"/>
          <w:color w:val="1c1c1c"/>
          <w:sz w:val="22"/>
          <w:szCs w:val="22"/>
        </w:rPr>
        <w:t xml:space="preserve">Do not stock the full pond and build all 21 beds simultaneously. Stage the system — match fish biomass to bed capacity at each step. The system tells you when it needs more filtration.</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000"/>
        <w:gridCol w:w="2000"/>
        <w:gridCol w:w="1760"/>
        <w:gridCol w:w="216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Stage</w:t>
            </w:r>
          </w:p>
        </w:tc>
        <w:tc>
          <w:tcPr>
            <w:tcW w:type="dxa" w:w="20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Fingerlings</w:t>
            </w:r>
          </w:p>
        </w:tc>
        <w:tc>
          <w:tcPr>
            <w:tcW w:type="dxa" w:w="20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Effective load</w:t>
            </w:r>
          </w:p>
        </w:tc>
        <w:tc>
          <w:tcPr>
            <w:tcW w:type="dxa" w:w="17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Beds needed</w:t>
            </w:r>
          </w:p>
        </w:tc>
        <w:tc>
          <w:tcPr>
            <w:tcW w:type="dxa" w:w="21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Trigger to advance</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Stage 1 — Startup</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150–200 fingerlings</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~2,000L effective</w:t>
            </w:r>
          </w:p>
        </w:tc>
        <w:tc>
          <w:tcPr>
            <w:tcW w:type="dxa" w:w="1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4–5 IBC beds</w:t>
            </w:r>
          </w:p>
        </w:tc>
        <w:tc>
          <w:tcPr>
            <w:tcW w:type="dxa" w:w="21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Ammonia stable &lt;0.5mg/L for 2 weeks, plants producing visibly</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Stage 2 — Growing</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Add 150–200 more</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~4,000L effective</w:t>
            </w:r>
          </w:p>
        </w:tc>
        <w:tc>
          <w:tcPr>
            <w:tcW w:type="dxa" w:w="1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8–10 IBC beds</w:t>
            </w:r>
          </w:p>
        </w:tc>
        <w:tc>
          <w:tcPr>
            <w:tcW w:type="dxa" w:w="21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Same water quality benchmark — ammonia stable, fish healthy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Stage 3 — Full load</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Add to 400–500 total</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Full 5,000L</w:t>
            </w:r>
          </w:p>
        </w:tc>
        <w:tc>
          <w:tcPr>
            <w:tcW w:type="dxa" w:w="1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20–21 IBC beds</w:t>
            </w:r>
          </w:p>
        </w:tc>
        <w:tc>
          <w:tcPr>
            <w:tcW w:type="dxa" w:w="21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Full commercial production — all beds planted, system balanced</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bf7f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STAGED LOGIC</w:t>
            </w:r>
          </w:p>
        </w:tc>
        <w:tc>
          <w:tcPr>
            <w:tcW w:type="dxa" w:w="8160"/>
            <w:tcBorders>
              <w:top w:val="single" w:color="cdd8ce" w:sz="1"/>
              <w:left w:val="single" w:color="cdd8ce" w:sz="1"/>
              <w:bottom w:val="single" w:color="cdd8ce" w:sz="1"/>
              <w:right w:val="single" w:color="cdd8ce" w:sz="1"/>
            </w:tcBorders>
            <w:shd w:fill="FFF8E1" w:val="clear"/>
            <w:tcMar>
              <w:top w:type="dxa" w:w="100"/>
              <w:left w:type="dxa" w:w="160"/>
              <w:bottom w:type="dxa" w:w="100"/>
              <w:right w:type="dxa" w:w="160"/>
            </w:tcMar>
          </w:tcPr>
          <w:p>
            <w:r>
              <w:rPr>
                <w:rFonts w:ascii="Arial" w:cs="Arial" w:eastAsia="Arial" w:hAnsi="Arial"/>
                <w:color w:val="1c1c1c"/>
                <w:sz w:val="22"/>
                <w:szCs w:val="22"/>
              </w:rPr>
              <w:t xml:space="preserve">Adding fish and beds simultaneously at each stage means the system never gets ahead of its filtration capacity. The biggest mistake in iAVs startups is stocking too many fish too fast. An ammonia spike in week two kills the microbial community you spent weeks building.</w:t>
            </w:r>
          </w:p>
        </w:tc>
      </w:tr>
    </w:tbl>
    <w:p>
      <w:pPr>
        <w:spacing w:before="80" w:after="80"/>
      </w:pPr>
    </w:p>
    <w:p>
      <w:pPr>
        <w:pStyle w:val="Heading2"/>
        <w:spacing w:before="280" w:after="120"/>
      </w:pPr>
      <w:r>
        <w:rPr>
          <w:rFonts w:ascii="Arial" w:cs="Arial" w:eastAsia="Arial" w:hAnsi="Arial"/>
          <w:b/>
          <w:bCs/>
          <w:color w:val="4a7c59"/>
          <w:sz w:val="26"/>
          <w:szCs w:val="26"/>
        </w:rPr>
        <w:t xml:space="preserve">2.3  Fish Species and Sourcing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tcMar>
              <w:top w:type="dxa" w:w="60"/>
              <w:left w:type="dxa" w:w="0"/>
              <w:bottom w:type="dxa" w:w="60"/>
              <w:right w:type="dxa" w:w="200"/>
            </w:tcMar>
          </w:tcPr>
          <w:p>
            <w:pPr>
              <w:spacing w:before="60" w:after="60"/>
            </w:pPr>
            <w:r>
              <w:rPr>
                <w:rFonts w:ascii="Arial" w:cs="Arial" w:eastAsia="Arial" w:hAnsi="Arial"/>
                <w:b/>
                <w:bCs/>
                <w:color w:val="2d5a38"/>
                <w:sz w:val="22"/>
                <w:szCs w:val="22"/>
              </w:rPr>
              <w:t xml:space="preserve">Recommended species</w:t>
            </w:r>
          </w:p>
          <w:p>
            <w:pPr>
              <w:pStyle w:val="ListParagraph"/>
              <w:numPr>
                <w:ilvl w:val="0"/>
                <w:numId w:val="2"/>
              </w:numPr>
              <w:spacing w:before="60" w:after="60"/>
            </w:pPr>
            <w:r>
              <w:rPr>
                <w:rFonts w:ascii="Arial" w:cs="Arial" w:eastAsia="Arial" w:hAnsi="Arial"/>
                <w:color w:val="1c1c1c"/>
                <w:sz w:val="22"/>
                <w:szCs w:val="22"/>
              </w:rPr>
              <w:t xml:space="preserve">Nile tilapia — Oreochromis niloticus</w:t>
            </w:r>
          </w:p>
          <w:p>
            <w:pPr>
              <w:pStyle w:val="ListParagraph"/>
              <w:numPr>
                <w:ilvl w:val="0"/>
                <w:numId w:val="2"/>
              </w:numPr>
              <w:spacing w:before="60" w:after="60"/>
            </w:pPr>
            <w:r>
              <w:rPr>
                <w:rFonts w:ascii="Arial" w:cs="Arial" w:eastAsia="Arial" w:hAnsi="Arial"/>
                <w:color w:val="1c1c1c"/>
                <w:sz w:val="22"/>
                <w:szCs w:val="22"/>
              </w:rPr>
              <w:t xml:space="preserve">The researched iAVs species — all McMurtry work used tilapia</w:t>
            </w:r>
          </w:p>
          <w:p>
            <w:pPr>
              <w:pStyle w:val="ListParagraph"/>
              <w:numPr>
                <w:ilvl w:val="0"/>
                <w:numId w:val="2"/>
              </w:numPr>
              <w:spacing w:before="60" w:after="60"/>
            </w:pPr>
            <w:r>
              <w:rPr>
                <w:rFonts w:ascii="Arial" w:cs="Arial" w:eastAsia="Arial" w:hAnsi="Arial"/>
                <w:color w:val="1c1c1c"/>
                <w:sz w:val="22"/>
                <w:szCs w:val="22"/>
              </w:rPr>
              <w:t xml:space="preserve">Fast growth rate at Bicol ambient temperatures</w:t>
            </w:r>
          </w:p>
          <w:p>
            <w:pPr>
              <w:pStyle w:val="ListParagraph"/>
              <w:numPr>
                <w:ilvl w:val="0"/>
                <w:numId w:val="2"/>
              </w:numPr>
              <w:spacing w:before="60" w:after="60"/>
            </w:pPr>
            <w:r>
              <w:rPr>
                <w:rFonts w:ascii="Arial" w:cs="Arial" w:eastAsia="Arial" w:hAnsi="Arial"/>
                <w:color w:val="1c1c1c"/>
                <w:sz w:val="22"/>
                <w:szCs w:val="22"/>
              </w:rPr>
              <w:t xml:space="preserve">Tolerant of variable water quality during system cycling</w:t>
            </w:r>
          </w:p>
          <w:p>
            <w:pPr>
              <w:pStyle w:val="ListParagraph"/>
              <w:numPr>
                <w:ilvl w:val="0"/>
                <w:numId w:val="2"/>
              </w:numPr>
              <w:spacing w:before="60" w:after="60"/>
            </w:pPr>
            <w:r>
              <w:rPr>
                <w:rFonts w:ascii="Arial" w:cs="Arial" w:eastAsia="Arial" w:hAnsi="Arial"/>
                <w:color w:val="1c1c1c"/>
                <w:sz w:val="22"/>
                <w:szCs w:val="22"/>
              </w:rPr>
              <w:t xml:space="preserve">Available from local hatcheries in Camarines Sur</w:t>
            </w:r>
          </w:p>
          <w:p>
            <w:pPr>
              <w:pStyle w:val="ListParagraph"/>
              <w:numPr>
                <w:ilvl w:val="0"/>
                <w:numId w:val="2"/>
              </w:numPr>
              <w:spacing w:before="60" w:after="60"/>
            </w:pPr>
            <w:r>
              <w:rPr>
                <w:rFonts w:ascii="Arial" w:cs="Arial" w:eastAsia="Arial" w:hAnsi="Arial"/>
                <w:color w:val="1c1c1c"/>
                <w:sz w:val="22"/>
                <w:szCs w:val="22"/>
              </w:rPr>
              <w:t xml:space="preserve">All-male stock preferred — eliminates breeding events that create unpredictable biomass spikes</w:t>
            </w:r>
          </w:p>
          <w:p>
            <w:pPr>
              <w:spacing w:before="80" w:after="80"/>
            </w:pPr>
          </w:p>
          <w:p>
            <w:pPr>
              <w:spacing w:before="60" w:after="60"/>
            </w:pPr>
            <w:r>
              <w:rPr>
                <w:rFonts w:ascii="Arial" w:cs="Arial" w:eastAsia="Arial" w:hAnsi="Arial"/>
                <w:b/>
                <w:bCs/>
                <w:color w:val="4a7c59"/>
                <w:sz w:val="22"/>
                <w:szCs w:val="22"/>
              </w:rPr>
              <w:t xml:space="preserve">Sourcing locally</w:t>
            </w:r>
          </w:p>
          <w:p>
            <w:pPr>
              <w:pStyle w:val="ListParagraph"/>
              <w:numPr>
                <w:ilvl w:val="0"/>
                <w:numId w:val="2"/>
              </w:numPr>
              <w:spacing w:before="60" w:after="60"/>
            </w:pPr>
            <w:r>
              <w:rPr>
                <w:rFonts w:ascii="Arial" w:cs="Arial" w:eastAsia="Arial" w:hAnsi="Arial"/>
                <w:color w:val="1c1c1c"/>
                <w:sz w:val="22"/>
                <w:szCs w:val="22"/>
              </w:rPr>
              <w:t xml:space="preserve">DA (Dept of Agriculture) freshwater stations in Camarines Sur supply certified fingerlings</w:t>
            </w:r>
          </w:p>
          <w:p>
            <w:pPr>
              <w:pStyle w:val="ListParagraph"/>
              <w:numPr>
                <w:ilvl w:val="0"/>
                <w:numId w:val="2"/>
              </w:numPr>
              <w:spacing w:before="60" w:after="60"/>
            </w:pPr>
            <w:r>
              <w:rPr>
                <w:rFonts w:ascii="Arial" w:cs="Arial" w:eastAsia="Arial" w:hAnsi="Arial"/>
                <w:color w:val="1c1c1c"/>
                <w:sz w:val="22"/>
                <w:szCs w:val="22"/>
              </w:rPr>
              <w:t xml:space="preserve">Private hatcheries in Naga area — Aileen's network will identify</w:t>
            </w:r>
          </w:p>
          <w:p>
            <w:pPr>
              <w:pStyle w:val="ListParagraph"/>
              <w:numPr>
                <w:ilvl w:val="0"/>
                <w:numId w:val="2"/>
              </w:numPr>
              <w:spacing w:before="60" w:after="60"/>
            </w:pPr>
            <w:r>
              <w:rPr>
                <w:rFonts w:ascii="Arial" w:cs="Arial" w:eastAsia="Arial" w:hAnsi="Arial"/>
                <w:color w:val="1c1c1c"/>
                <w:sz w:val="22"/>
                <w:szCs w:val="22"/>
              </w:rPr>
              <w:t xml:space="preserve">Fingerling size at stocking: 5–10cm — not smaller</w:t>
            </w:r>
          </w:p>
        </w:tc>
        <w:tc>
          <w:tcPr>
            <w:tcW w:type="dxa" w:w="4740"/>
            <w:tcBorders>
              <w:top w:val="none" w:color="ffffff" w:sz="0"/>
              <w:left w:val="none" w:color="ffffff" w:sz="0"/>
              <w:bottom w:val="none" w:color="ffffff" w:sz="0"/>
              <w:right w:val="none" w:color="ffffff" w:sz="0"/>
            </w:tcBorders>
            <w:tcMar>
              <w:top w:type="dxa" w:w="60"/>
              <w:left w:type="dxa" w:w="200"/>
              <w:bottom w:type="dxa" w:w="60"/>
              <w:right w:type="dxa" w:w="0"/>
            </w:tcMar>
          </w:tcPr>
          <w:p>
            <w:pPr>
              <w:spacing w:before="60" w:after="60"/>
            </w:pPr>
            <w:r>
              <w:rPr>
                <w:rFonts w:ascii="Arial" w:cs="Arial" w:eastAsia="Arial" w:hAnsi="Arial"/>
                <w:b/>
                <w:bCs/>
                <w:color w:val="2d5a38"/>
                <w:sz w:val="22"/>
                <w:szCs w:val="22"/>
              </w:rPr>
              <w:t xml:space="preserve">Nursery pond</w:t>
            </w:r>
          </w:p>
          <w:p>
            <w:pPr>
              <w:pStyle w:val="ListParagraph"/>
              <w:numPr>
                <w:ilvl w:val="0"/>
                <w:numId w:val="2"/>
              </w:numPr>
              <w:spacing w:before="60" w:after="60"/>
            </w:pPr>
            <w:r>
              <w:rPr>
                <w:rFonts w:ascii="Arial" w:cs="Arial" w:eastAsia="Arial" w:hAnsi="Arial"/>
                <w:color w:val="1c1c1c"/>
                <w:sz w:val="22"/>
                <w:szCs w:val="22"/>
              </w:rPr>
              <w:t xml:space="preserve">Run a separate nursery pond alongside the main system</w:t>
            </w:r>
          </w:p>
          <w:p>
            <w:pPr>
              <w:pStyle w:val="ListParagraph"/>
              <w:numPr>
                <w:ilvl w:val="0"/>
                <w:numId w:val="2"/>
              </w:numPr>
              <w:spacing w:before="60" w:after="60"/>
            </w:pPr>
            <w:r>
              <w:rPr>
                <w:rFonts w:ascii="Arial" w:cs="Arial" w:eastAsia="Arial" w:hAnsi="Arial"/>
                <w:color w:val="1c1c1c"/>
                <w:sz w:val="22"/>
                <w:szCs w:val="22"/>
              </w:rPr>
              <w:t xml:space="preserve">Grow fingerlings to juvenile stage before transferring to main pond</w:t>
            </w:r>
          </w:p>
          <w:p>
            <w:pPr>
              <w:pStyle w:val="ListParagraph"/>
              <w:numPr>
                <w:ilvl w:val="0"/>
                <w:numId w:val="2"/>
              </w:numPr>
              <w:spacing w:before="60" w:after="60"/>
            </w:pPr>
            <w:r>
              <w:rPr>
                <w:rFonts w:ascii="Arial" w:cs="Arial" w:eastAsia="Arial" w:hAnsi="Arial"/>
                <w:color w:val="1c1c1c"/>
                <w:sz w:val="22"/>
                <w:szCs w:val="22"/>
              </w:rPr>
              <w:t xml:space="preserve">Keeps the main pond biomass predictable and manageable</w:t>
            </w:r>
          </w:p>
          <w:p>
            <w:pPr>
              <w:pStyle w:val="ListParagraph"/>
              <w:numPr>
                <w:ilvl w:val="0"/>
                <w:numId w:val="2"/>
              </w:numPr>
              <w:spacing w:before="60" w:after="60"/>
            </w:pPr>
            <w:r>
              <w:rPr>
                <w:rFonts w:ascii="Arial" w:cs="Arial" w:eastAsia="Arial" w:hAnsi="Arial"/>
                <w:color w:val="1c1c1c"/>
                <w:sz w:val="22"/>
                <w:szCs w:val="22"/>
              </w:rPr>
              <w:t xml:space="preserve">Closes the production loop — no dependence on external fingerling supply once breeding stock established</w:t>
            </w:r>
          </w:p>
          <w:p>
            <w:pPr>
              <w:spacing w:before="80" w:after="80"/>
            </w:pPr>
          </w:p>
          <w:p>
            <w:pPr>
              <w:spacing w:before="60" w:after="60"/>
            </w:pPr>
            <w:r>
              <w:rPr>
                <w:rFonts w:ascii="Arial" w:cs="Arial" w:eastAsia="Arial" w:hAnsi="Arial"/>
                <w:b/>
                <w:bCs/>
                <w:color w:val="b71c1c"/>
                <w:sz w:val="22"/>
                <w:szCs w:val="22"/>
              </w:rPr>
              <w:t xml:space="preserve">Do not stock</w:t>
            </w:r>
          </w:p>
          <w:p>
            <w:pPr>
              <w:pStyle w:val="ListParagraph"/>
              <w:numPr>
                <w:ilvl w:val="0"/>
                <w:numId w:val="2"/>
              </w:numPr>
              <w:spacing w:before="60" w:after="60"/>
            </w:pPr>
            <w:r>
              <w:rPr>
                <w:rFonts w:ascii="Arial" w:cs="Arial" w:eastAsia="Arial" w:hAnsi="Arial"/>
                <w:color w:val="1c1c1c"/>
                <w:sz w:val="22"/>
                <w:szCs w:val="22"/>
              </w:rPr>
              <w:t xml:space="preserve">Mixed sex — creates uncontrolled breeding</w:t>
            </w:r>
          </w:p>
          <w:p>
            <w:pPr>
              <w:pStyle w:val="ListParagraph"/>
              <w:numPr>
                <w:ilvl w:val="0"/>
                <w:numId w:val="2"/>
              </w:numPr>
              <w:spacing w:before="60" w:after="60"/>
            </w:pPr>
            <w:r>
              <w:rPr>
                <w:rFonts w:ascii="Arial" w:cs="Arial" w:eastAsia="Arial" w:hAnsi="Arial"/>
                <w:color w:val="1c1c1c"/>
                <w:sz w:val="22"/>
                <w:szCs w:val="22"/>
              </w:rPr>
              <w:t xml:space="preserve">Fish less than 5cm — mortality risk during system cycling</w:t>
            </w:r>
          </w:p>
          <w:p>
            <w:pPr>
              <w:pStyle w:val="ListParagraph"/>
              <w:numPr>
                <w:ilvl w:val="0"/>
                <w:numId w:val="2"/>
              </w:numPr>
              <w:spacing w:before="60" w:after="60"/>
            </w:pPr>
            <w:r>
              <w:rPr>
                <w:rFonts w:ascii="Arial" w:cs="Arial" w:eastAsia="Arial" w:hAnsi="Arial"/>
                <w:color w:val="1c1c1c"/>
                <w:sz w:val="22"/>
                <w:szCs w:val="22"/>
              </w:rPr>
              <w:t xml:space="preserve">Any antibiotic-treated fish — kills the microbial community in the sand beds</w:t>
            </w:r>
          </w:p>
        </w:tc>
      </w:tr>
    </w:tbl>
    <w:p>
      <w:pPr>
        <w:spacing w:before="80" w:after="80"/>
      </w:pPr>
    </w:p>
    <w:p>
      <w:pPr>
        <w:pStyle w:val="Heading2"/>
        <w:spacing w:before="280" w:after="120"/>
      </w:pPr>
      <w:r>
        <w:rPr>
          <w:rFonts w:ascii="Arial" w:cs="Arial" w:eastAsia="Arial" w:hAnsi="Arial"/>
          <w:b/>
          <w:bCs/>
          <w:color w:val="4a7c59"/>
          <w:sz w:val="26"/>
          <w:szCs w:val="26"/>
        </w:rPr>
        <w:t xml:space="preserve">2.4  Feed Rates and Hydraulic Loading</w:t>
      </w:r>
    </w:p>
    <w:p>
      <w:pPr>
        <w:spacing w:before="80" w:after="120"/>
      </w:pPr>
      <w:r>
        <w:rPr>
          <w:rFonts w:ascii="Arial" w:cs="Arial" w:eastAsia="Arial" w:hAnsi="Arial"/>
          <w:color w:val="1c1c1c"/>
          <w:sz w:val="22"/>
          <w:szCs w:val="22"/>
        </w:rPr>
        <w:t xml:space="preserve">Feed rate drives everything. It determines how much waste enters the system, which determines how much filtration is needed, which determines how often you dose the beds.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c>
          <w:tcPr>
            <w:tcW w:type="dxa" w:w="3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Parameter</w:t>
            </w:r>
          </w:p>
        </w:tc>
        <w:tc>
          <w:tcPr>
            <w:tcW w:type="dxa" w:w="24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Value</w:t>
            </w:r>
          </w:p>
        </w:tc>
        <w:tc>
          <w:tcPr>
            <w:tcW w:type="dxa" w:w="37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Notes</w:t>
            </w:r>
          </w:p>
        </w:tc>
      </w:tr>
      <w:tr>
        <w:tc>
          <w:tcPr>
            <w:tcW w:type="dxa" w:w="3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Starting feed rate</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3% of total fish biomass per day</w:t>
            </w:r>
          </w:p>
        </w:tc>
        <w:tc>
          <w:tcPr>
            <w:tcW w:type="dxa" w:w="3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Reduce to 1% as fish approach harvest weight</w:t>
            </w:r>
          </w:p>
        </w:tc>
      </w:tr>
      <w:tr>
        <w:tc>
          <w:tcPr>
            <w:tcW w:type="dxa" w:w="3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Feeding schedule</w:t>
            </w:r>
          </w:p>
        </w:tc>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Twice daily — morning and afternoon</w:t>
            </w:r>
          </w:p>
        </w:tc>
        <w:tc>
          <w:tcPr>
            <w:tcW w:type="dxa" w:w="3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Consistent timing — fish and microbes both benefit from rhythm</w:t>
            </w:r>
          </w:p>
        </w:tc>
      </w:tr>
      <w:tr>
        <w:tc>
          <w:tcPr>
            <w:tcW w:type="dxa" w:w="3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Daily hydraulic cycles</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2–4 × fish tank volume through beds per day</w:t>
            </w:r>
          </w:p>
        </w:tc>
        <w:tc>
          <w:tcPr>
            <w:tcW w:type="dxa" w:w="3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3× is the standard starting point</w:t>
            </w:r>
          </w:p>
        </w:tc>
      </w:tr>
      <w:tr>
        <w:tc>
          <w:tcPr>
            <w:tcW w:type="dxa" w:w="3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Bed dose volume (Stage 1)</w:t>
            </w:r>
          </w:p>
        </w:tc>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3,000L per dose across 4–5 beds</w:t>
            </w:r>
          </w:p>
        </w:tc>
        <w:tc>
          <w:tcPr>
            <w:tcW w:type="dxa" w:w="3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600–750L per bed per dose — floods and drains in ~15–20 min</w:t>
            </w:r>
          </w:p>
        </w:tc>
      </w:tr>
      <w:tr>
        <w:tc>
          <w:tcPr>
            <w:tcW w:type="dxa" w:w="3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Feed conversion reference</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1kg feed → 0.76kg fish + 1.66kg vegetables</w:t>
            </w:r>
          </w:p>
        </w:tc>
        <w:tc>
          <w:tcPr>
            <w:tcW w:type="dxa" w:w="3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McMurtry original research benchmark</w:t>
            </w:r>
          </w:p>
        </w:tc>
      </w:tr>
      <w:tr>
        <w:tc>
          <w:tcPr>
            <w:tcW w:type="dxa" w:w="3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Monitoring trigger</w:t>
            </w:r>
          </w:p>
        </w:tc>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Ammonia &gt;0.5mg/L</w:t>
            </w:r>
          </w:p>
        </w:tc>
        <w:tc>
          <w:tcPr>
            <w:tcW w:type="dxa" w:w="3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Reduce feed rate or add bed capacity — do not ignore</w:t>
            </w:r>
          </w:p>
        </w:tc>
      </w:tr>
    </w:tbl>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3.  Water Management — Valve Controls and Emergency Protocols</w:t>
      </w:r>
    </w:p>
    <w:p>
      <w:pPr>
        <w:spacing w:before="80" w:after="80"/>
      </w:pPr>
    </w:p>
    <w:p>
      <w:pPr>
        <w:spacing w:before="80" w:after="120"/>
      </w:pPr>
      <w:r>
        <w:rPr>
          <w:rFonts w:ascii="Arial" w:cs="Arial" w:eastAsia="Arial" w:hAnsi="Arial"/>
          <w:color w:val="1c1c1c"/>
          <w:sz w:val="22"/>
          <w:szCs w:val="22"/>
        </w:rPr>
        <w:t xml:space="preserve">The Pugod system incorporates a three-function water supply controlled by a single manual divert valve at the bed feed manifold. This is the system's primary safety mechanism and its most operationally important control point.</w:t>
      </w:r>
    </w:p>
    <w:p>
      <w:pPr>
        <w:spacing w:before="80" w:after="80"/>
      </w:pPr>
    </w:p>
    <w:p>
      <w:pPr>
        <w:pStyle w:val="Heading2"/>
        <w:spacing w:before="280" w:after="120"/>
      </w:pPr>
      <w:r>
        <w:rPr>
          <w:rFonts w:ascii="Arial" w:cs="Arial" w:eastAsia="Arial" w:hAnsi="Arial"/>
          <w:b/>
          <w:bCs/>
          <w:color w:val="4a7c59"/>
          <w:sz w:val="26"/>
          <w:szCs w:val="26"/>
        </w:rPr>
        <w:t xml:space="preserve">3.1  The Three-Way Valve Configuration</w:t>
      </w:r>
    </w:p>
    <w:p>
      <w:pPr>
        <w:spacing w:before="80" w:after="120"/>
      </w:pPr>
      <w:r>
        <w:rPr>
          <w:rFonts w:ascii="Arial" w:cs="Arial" w:eastAsia="Arial" w:hAnsi="Arial"/>
          <w:color w:val="1c1c1c"/>
          <w:sz w:val="22"/>
          <w:szCs w:val="22"/>
        </w:rPr>
        <w:t xml:space="preserve">A manual gate or lever valve at the bed feed manifold selects between two water sources: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960"/>
        <w:gridCol w:w="3400"/>
      </w:tblGrid>
      <w:tr>
        <w:tc>
          <w:tcPr>
            <w:tcW w:type="dxa" w:w="20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Position</w:t>
            </w:r>
          </w:p>
        </w:tc>
        <w:tc>
          <w:tcPr>
            <w:tcW w:type="dxa" w:w="39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Water source</w:t>
            </w:r>
          </w:p>
        </w:tc>
        <w:tc>
          <w:tcPr>
            <w:tcW w:type="dxa" w:w="34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When to use</w:t>
            </w:r>
          </w:p>
        </w:tc>
      </w:tr>
      <w:tr>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NORMAL — Pond</w:t>
            </w:r>
          </w:p>
        </w:tc>
        <w:tc>
          <w:tcPr>
            <w:tcW w:type="dxa" w:w="39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Fish pond effluent feeds all beds</w:t>
            </w:r>
          </w:p>
        </w:tc>
        <w:tc>
          <w:tcPr>
            <w:tcW w:type="dxa" w:w="3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Standard daily operation — all normal conditions</w:t>
            </w:r>
          </w:p>
        </w:tc>
      </w:tr>
      <w:tr>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FLUSH — River</w:t>
            </w:r>
          </w:p>
        </w:tc>
        <w:tc>
          <w:tcPr>
            <w:tcW w:type="dxa" w:w="39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Lift pump river water bypasses pond, feeds beds directly</w:t>
            </w:r>
          </w:p>
        </w:tc>
        <w:tc>
          <w:tcPr>
            <w:tcW w:type="dxa" w:w="3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Ammonia spike / emergency / monsoon surge / pre-startup cycling</w:t>
            </w:r>
          </w:p>
        </w:tc>
      </w:tr>
    </w:tbl>
    <w:p>
      <w:pPr>
        <w:spacing w:before="80" w:after="80"/>
      </w:pPr>
    </w:p>
    <w:p>
      <w:pPr>
        <w:spacing w:before="80" w:after="120"/>
      </w:pPr>
      <w:r>
        <w:rPr>
          <w:rFonts w:ascii="Arial" w:cs="Arial" w:eastAsia="Arial" w:hAnsi="Arial"/>
          <w:color w:val="1c1c1c"/>
          <w:sz w:val="22"/>
          <w:szCs w:val="22"/>
        </w:rPr>
        <w:t xml:space="preserve">Physical installation: a simple tee junction on the lift pump line with a manual valve on each branch. Label both positions clearly in English and Filipino. Every person who works the system must know how to operate it and under what conditions.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b71c1c"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VALVE LABELLING</w:t>
            </w:r>
          </w:p>
        </w:tc>
        <w:tc>
          <w:tcPr>
            <w:tcW w:type="dxa" w:w="8160"/>
            <w:tcBorders>
              <w:top w:val="single" w:color="cdd8ce" w:sz="1"/>
              <w:left w:val="single" w:color="cdd8ce" w:sz="1"/>
              <w:bottom w:val="single" w:color="cdd8ce" w:sz="1"/>
              <w:right w:val="single" w:color="cdd8ce" w:sz="1"/>
            </w:tcBorders>
            <w:shd w:fill="FFEBEE" w:val="clear"/>
            <w:tcMar>
              <w:top w:type="dxa" w:w="100"/>
              <w:left w:type="dxa" w:w="160"/>
              <w:bottom w:type="dxa" w:w="100"/>
              <w:right w:type="dxa" w:w="160"/>
            </w:tcMar>
          </w:tcPr>
          <w:p>
            <w:r>
              <w:rPr>
                <w:rFonts w:ascii="Arial" w:cs="Arial" w:eastAsia="Arial" w:hAnsi="Arial"/>
                <w:color w:val="1c1c1c"/>
                <w:sz w:val="22"/>
                <w:szCs w:val="22"/>
              </w:rPr>
              <w:t xml:space="preserve">NORMAL (Pond Water) and FLUSH (River Water) — painted on the pipe in green and red respectively. This is a safety-critical control. Ambiguity costs fish, crops, and microbial community.</w:t>
            </w:r>
          </w:p>
        </w:tc>
      </w:tr>
    </w:tbl>
    <w:p>
      <w:pPr>
        <w:spacing w:before="80" w:after="80"/>
      </w:pPr>
    </w:p>
    <w:p>
      <w:pPr>
        <w:pStyle w:val="Heading2"/>
        <w:spacing w:before="280" w:after="120"/>
      </w:pPr>
      <w:r>
        <w:rPr>
          <w:rFonts w:ascii="Arial" w:cs="Arial" w:eastAsia="Arial" w:hAnsi="Arial"/>
          <w:b/>
          <w:bCs/>
          <w:color w:val="4a7c59"/>
          <w:sz w:val="26"/>
          <w:szCs w:val="26"/>
        </w:rPr>
        <w:t xml:space="preserve">3.2  Four Operational Scenarios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1960"/>
        <w:gridCol w:w="2600"/>
      </w:tblGrid>
      <w:tr>
        <w:tc>
          <w:tcPr>
            <w:tcW w:type="dxa" w:w="20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Scenario</w:t>
            </w:r>
          </w:p>
        </w:tc>
        <w:tc>
          <w:tcPr>
            <w:tcW w:type="dxa" w:w="28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What happens</w:t>
            </w:r>
          </w:p>
        </w:tc>
        <w:tc>
          <w:tcPr>
            <w:tcW w:type="dxa" w:w="19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Valve position</w:t>
            </w:r>
          </w:p>
        </w:tc>
        <w:tc>
          <w:tcPr>
            <w:tcW w:type="dxa" w:w="26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w:t>
            </w:r>
          </w:p>
        </w:tc>
      </w:tr>
      <w:tr>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Normal operation</w:t>
            </w:r>
          </w:p>
        </w:tc>
        <w:tc>
          <w:tcPr>
            <w:tcW w:type="dxa" w:w="28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Fish effluent feeds beds twice daily. Plants uptake nutrients. Filtered water returns to pond.</w:t>
            </w:r>
          </w:p>
        </w:tc>
        <w:tc>
          <w:tcPr>
            <w:tcW w:type="dxa" w:w="19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NORMAL — Pond</w:t>
            </w:r>
          </w:p>
        </w:tc>
        <w:tc>
          <w:tcPr>
            <w:tcW w:type="dxa" w:w="2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No action required. Monitor parameters twice weekly.</w:t>
            </w:r>
          </w:p>
        </w:tc>
      </w:tr>
      <w:tr>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Ammonia spike</w:t>
            </w:r>
          </w:p>
        </w:tc>
        <w:tc>
          <w:tcPr>
            <w:tcW w:type="dxa" w:w="28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Ammonia &gt;0.5mg/L. Fish stressed. Risk of microbial crash in beds.</w:t>
            </w:r>
          </w:p>
        </w:tc>
        <w:tc>
          <w:tcPr>
            <w:tcW w:type="dxa" w:w="19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SWITCH TO → Flush (River)</w:t>
            </w:r>
          </w:p>
        </w:tc>
        <w:tc>
          <w:tcPr>
            <w:tcW w:type="dxa" w:w="2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Flush beds with clean river water. Reduce feed rate. Identify cause (overcrowding, overfeeding, hot weather, sick fish). Do not return to pond feed until ammonia &lt;0.25mg/L.</w:t>
            </w:r>
          </w:p>
        </w:tc>
      </w:tr>
      <w:tr>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Monsoon event</w:t>
            </w:r>
          </w:p>
        </w:tc>
        <w:tc>
          <w:tcPr>
            <w:tcW w:type="dxa" w:w="28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Heavy rain. Pond level rising toward freeboard limit. Normal bed flush not drawing level down fast enough.</w:t>
            </w:r>
          </w:p>
        </w:tc>
        <w:tc>
          <w:tcPr>
            <w:tcW w:type="dxa" w:w="19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SWITCH TO → Flush (River)</w:t>
            </w:r>
          </w:p>
        </w:tc>
        <w:tc>
          <w:tcPr>
            <w:tcW w:type="dxa" w:w="2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Open all bed drain lines fully. River water at full lift pump volume flushes through beds. Pond overflow controlled through designed weir. Biological community in beds protected from concentrated nutrient slug at high flow rate.</w:t>
            </w:r>
          </w:p>
        </w:tc>
      </w:tr>
      <w:tr>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Pre-startup cycling</w:t>
            </w:r>
          </w:p>
        </w:tc>
        <w:tc>
          <w:tcPr>
            <w:tcW w:type="dxa" w:w="28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System commissioned. Beds filled with sand and inoculated. No fish in pond yet.</w:t>
            </w:r>
          </w:p>
        </w:tc>
        <w:tc>
          <w:tcPr>
            <w:tcW w:type="dxa" w:w="19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FLUSH — River</w:t>
            </w:r>
          </w:p>
        </w:tc>
        <w:tc>
          <w:tcPr>
            <w:tcW w:type="dxa" w:w="2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Run river water through beds twice daily for 7–10 days. Establishes microbial community before any fish load. Beds biologically active before first fingerlings arrive.</w:t>
            </w:r>
          </w:p>
        </w:tc>
      </w:tr>
    </w:tbl>
    <w:p>
      <w:pPr>
        <w:spacing w:before="80" w:after="80"/>
      </w:pPr>
    </w:p>
    <w:p>
      <w:pPr>
        <w:pStyle w:val="Heading2"/>
        <w:spacing w:before="280" w:after="120"/>
      </w:pPr>
      <w:r>
        <w:rPr>
          <w:rFonts w:ascii="Arial" w:cs="Arial" w:eastAsia="Arial" w:hAnsi="Arial"/>
          <w:b/>
          <w:bCs/>
          <w:color w:val="4a7c59"/>
          <w:sz w:val="26"/>
          <w:szCs w:val="26"/>
        </w:rPr>
        <w:t xml:space="preserve">3.3  Monsoon Bed Drain Protocol</w:t>
      </w:r>
    </w:p>
    <w:p>
      <w:pPr>
        <w:spacing w:before="80" w:after="120"/>
      </w:pPr>
      <w:r>
        <w:rPr>
          <w:rFonts w:ascii="Arial" w:cs="Arial" w:eastAsia="Arial" w:hAnsi="Arial"/>
          <w:color w:val="1c1c1c"/>
          <w:sz w:val="22"/>
          <w:szCs w:val="22"/>
        </w:rPr>
        <w:t xml:space="preserve">The grow bed drain lines serve dual purpose — normal drainage to the taro terraces below, and emergency pond level management during heavy rain events.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All grow bed drain lines are permanently open — this is not a valve-controlled system</w:t>
      </w:r>
    </w:p>
    <w:p>
      <w:pPr>
        <w:pStyle w:val="ListParagraph"/>
        <w:numPr>
          <w:ilvl w:val="0"/>
          <w:numId w:val="2"/>
        </w:numPr>
        <w:spacing w:before="60" w:after="60"/>
      </w:pPr>
      <w:r>
        <w:rPr>
          <w:rFonts w:ascii="Arial" w:cs="Arial" w:eastAsia="Arial" w:hAnsi="Arial"/>
          <w:color w:val="1c1c1c"/>
          <w:sz w:val="22"/>
          <w:szCs w:val="22"/>
        </w:rPr>
        <w:t xml:space="preserve">Water flows continuously by gravity from beds to taro terraces at all times</w:t>
      </w:r>
    </w:p>
    <w:p>
      <w:pPr>
        <w:pStyle w:val="ListParagraph"/>
        <w:numPr>
          <w:ilvl w:val="0"/>
          <w:numId w:val="2"/>
        </w:numPr>
        <w:spacing w:before="60" w:after="60"/>
      </w:pPr>
      <w:r>
        <w:rPr>
          <w:rFonts w:ascii="Arial" w:cs="Arial" w:eastAsia="Arial" w:hAnsi="Arial"/>
          <w:color w:val="1c1c1c"/>
          <w:sz w:val="22"/>
          <w:szCs w:val="22"/>
        </w:rPr>
        <w:t xml:space="preserve">During heavy rain: switch feed valve to river water — full lift pump volume now passes through beds, drawing down pond level passively</w:t>
      </w:r>
    </w:p>
    <w:p>
      <w:pPr>
        <w:pStyle w:val="ListParagraph"/>
        <w:numPr>
          <w:ilvl w:val="0"/>
          <w:numId w:val="2"/>
        </w:numPr>
        <w:spacing w:before="60" w:after="60"/>
      </w:pPr>
      <w:r>
        <w:rPr>
          <w:rFonts w:ascii="Arial" w:cs="Arial" w:eastAsia="Arial" w:hAnsi="Arial"/>
          <w:color w:val="1c1c1c"/>
          <w:sz w:val="22"/>
          <w:szCs w:val="22"/>
        </w:rPr>
        <w:t xml:space="preserve">Bed sand handles increased water volume without issue — continuous flow is the normal operating state</w:t>
      </w:r>
    </w:p>
    <w:p>
      <w:pPr>
        <w:pStyle w:val="ListParagraph"/>
        <w:numPr>
          <w:ilvl w:val="0"/>
          <w:numId w:val="2"/>
        </w:numPr>
        <w:spacing w:before="60" w:after="60"/>
      </w:pPr>
      <w:r>
        <w:rPr>
          <w:rFonts w:ascii="Arial" w:cs="Arial" w:eastAsia="Arial" w:hAnsi="Arial"/>
          <w:color w:val="1c1c1c"/>
          <w:sz w:val="22"/>
          <w:szCs w:val="22"/>
        </w:rPr>
        <w:t xml:space="preserve">Fish and fry remain in pond at all times — no overflow fish loss</w:t>
      </w:r>
    </w:p>
    <w:p>
      <w:pPr>
        <w:pStyle w:val="ListParagraph"/>
        <w:numPr>
          <w:ilvl w:val="0"/>
          <w:numId w:val="2"/>
        </w:numPr>
        <w:spacing w:before="60" w:after="60"/>
      </w:pPr>
      <w:r>
        <w:rPr>
          <w:rFonts w:ascii="Arial" w:cs="Arial" w:eastAsia="Arial" w:hAnsi="Arial"/>
          <w:color w:val="1c1c1c"/>
          <w:sz w:val="22"/>
          <w:szCs w:val="22"/>
        </w:rPr>
        <w:t xml:space="preserve">Taro terrace cascade absorbs the surge volume through staged overflow lips</w:t>
      </w:r>
    </w:p>
    <w:p>
      <w:pPr>
        <w:pStyle w:val="ListParagraph"/>
        <w:numPr>
          <w:ilvl w:val="0"/>
          <w:numId w:val="2"/>
        </w:numPr>
        <w:spacing w:before="60" w:after="60"/>
      </w:pPr>
      <w:r>
        <w:rPr>
          <w:rFonts w:ascii="Arial" w:cs="Arial" w:eastAsia="Arial" w:hAnsi="Arial"/>
          <w:color w:val="1c1c1c"/>
          <w:sz w:val="22"/>
          <w:szCs w:val="22"/>
        </w:rPr>
        <w:t xml:space="preserve">Operator check during yellow weather warning: verify feed valve position, verify pond freeboard, verify taro overflow channels are clear</w:t>
      </w:r>
    </w:p>
    <w:p>
      <w:pPr>
        <w:pStyle w:val="ListParagraph"/>
        <w:numPr>
          <w:ilvl w:val="0"/>
          <w:numId w:val="2"/>
        </w:numPr>
        <w:spacing w:before="60" w:after="60"/>
      </w:pPr>
      <w:r>
        <w:rPr>
          <w:rFonts w:ascii="Arial" w:cs="Arial" w:eastAsia="Arial" w:hAnsi="Arial"/>
          <w:color w:val="1c1c1c"/>
          <w:sz w:val="22"/>
          <w:szCs w:val="22"/>
        </w:rPr>
        <w:t xml:space="preserve">Operator check during red weather warning: switch to river flush, monitor pond freeboard continuously</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FAST WATER IS DANGEROUS — SLOW WATER IS SAFE</w:t>
            </w:r>
          </w:p>
        </w:tc>
        <w:tc>
          <w:tcPr>
            <w:tcW w:type="dxa" w:w="81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Every stage of the Pugod cascade is designed to slow water progressively. The staged overflow lips between taro terraces are not just for water management — they are the primary erosion prevention mechanism on a 12-metre grade. Never allow uncontrolled overflow. All surge must pass through the designed cascade.</w:t>
            </w:r>
          </w:p>
        </w:tc>
      </w:tr>
    </w:tbl>
    <w:p>
      <w:pPr>
        <w:spacing w:before="80" w:after="80"/>
      </w:pPr>
    </w:p>
    <w:p>
      <w:pPr>
        <w:pStyle w:val="Heading2"/>
        <w:spacing w:before="280" w:after="120"/>
      </w:pPr>
      <w:r>
        <w:rPr>
          <w:rFonts w:ascii="Arial" w:cs="Arial" w:eastAsia="Arial" w:hAnsi="Arial"/>
          <w:b/>
          <w:bCs/>
          <w:color w:val="4a7c59"/>
          <w:sz w:val="26"/>
          <w:szCs w:val="26"/>
        </w:rPr>
        <w:t xml:space="preserve">3.4  Water Quality Monitoring Schedule</w:t>
      </w:r>
    </w:p>
    <w:p>
      <w:pPr>
        <w:spacing w:before="80" w:after="120"/>
      </w:pPr>
      <w:r>
        <w:rPr>
          <w:rFonts w:ascii="Arial" w:cs="Arial" w:eastAsia="Arial" w:hAnsi="Arial"/>
          <w:color w:val="1c1c1c"/>
          <w:sz w:val="22"/>
          <w:szCs w:val="22"/>
        </w:rPr>
        <w:t xml:space="preserve">iAVs is self-regulating when correctly set up — but you need to be able to read the system. These are the parameters that matter and how often to check them.</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1760"/>
        <w:gridCol w:w="3400"/>
      </w:tblGrid>
      <w:tr>
        <w:tc>
          <w:tcPr>
            <w:tcW w:type="dxa" w:w="2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Parameter</w:t>
            </w:r>
          </w:p>
        </w:tc>
        <w:tc>
          <w:tcPr>
            <w:tcW w:type="dxa" w:w="20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Target range</w:t>
            </w:r>
          </w:p>
        </w:tc>
        <w:tc>
          <w:tcPr>
            <w:tcW w:type="dxa" w:w="17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Check frequency</w:t>
            </w:r>
          </w:p>
        </w:tc>
        <w:tc>
          <w:tcPr>
            <w:tcW w:type="dxa" w:w="34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 if out of range</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Ammonia (NH3)</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&lt;0.5 mg/L</w:t>
            </w:r>
          </w:p>
        </w:tc>
        <w:tc>
          <w:tcPr>
            <w:tcW w:type="dxa" w:w="1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Twice weekly</w:t>
            </w:r>
          </w:p>
        </w:tc>
        <w:tc>
          <w:tcPr>
            <w:tcW w:type="dxa" w:w="3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Reduce feed rate. Switch to river flush. Identify cause.</w:t>
            </w:r>
          </w:p>
        </w:tc>
      </w:tr>
      <w:tr>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Nitrite (NO2)</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&lt;0.5 mg/L</w:t>
            </w:r>
          </w:p>
        </w:tc>
        <w:tc>
          <w:tcPr>
            <w:tcW w:type="dxa" w:w="1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Twice weekly</w:t>
            </w:r>
          </w:p>
        </w:tc>
        <w:tc>
          <w:tcPr>
            <w:tcW w:type="dxa" w:w="3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Same as ammonia — indicates cycling incomplete or overloaded.</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Nitrate (NO3)</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5–150 mg/L</w:t>
            </w:r>
          </w:p>
        </w:tc>
        <w:tc>
          <w:tcPr>
            <w:tcW w:type="dxa" w:w="1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Weekly</w:t>
            </w:r>
          </w:p>
        </w:tc>
        <w:tc>
          <w:tcPr>
            <w:tcW w:type="dxa" w:w="3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Low = insufficient fish load. High = insufficient bed volume.</w:t>
            </w:r>
          </w:p>
        </w:tc>
      </w:tr>
      <w:tr>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pH</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6.5–7.5</w:t>
            </w:r>
          </w:p>
        </w:tc>
        <w:tc>
          <w:tcPr>
            <w:tcW w:type="dxa" w:w="1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Weekly</w:t>
            </w:r>
          </w:p>
        </w:tc>
        <w:tc>
          <w:tcPr>
            <w:tcW w:type="dxa" w:w="3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iAVs self-regulates pH — consistent readings outside range indicate imbalance.</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Dissolved oxygen</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&gt;5 mg/L</w:t>
            </w:r>
          </w:p>
        </w:tc>
        <w:tc>
          <w:tcPr>
            <w:tcW w:type="dxa" w:w="1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Weekly (fish tanks)</w:t>
            </w:r>
          </w:p>
        </w:tc>
        <w:tc>
          <w:tcPr>
            <w:tcW w:type="dxa" w:w="3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Low DO = increase aeration or reduce fish load.</w:t>
            </w:r>
          </w:p>
        </w:tc>
      </w:tr>
      <w:tr>
        <w:tc>
          <w:tcPr>
            <w:tcW w:type="dxa" w:w="2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Temperature</w:t>
            </w:r>
          </w:p>
        </w:tc>
        <w:tc>
          <w:tcPr>
            <w:tcW w:type="dxa" w:w="20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25–30°C optimal for tilapia</w:t>
            </w:r>
          </w:p>
        </w:tc>
        <w:tc>
          <w:tcPr>
            <w:tcW w:type="dxa" w:w="17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Seasonal note only</w:t>
            </w:r>
          </w:p>
        </w:tc>
        <w:tc>
          <w:tcPr>
            <w:tcW w:type="dxa" w:w="3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Bicol ambient is near-ideal. Monitor during unusual cold spells.</w:t>
            </w:r>
          </w:p>
        </w:tc>
      </w:tr>
      <w:tr>
        <w:tc>
          <w:tcPr>
            <w:tcW w:type="dxa" w:w="2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Drain water clarity</w:t>
            </w:r>
          </w:p>
        </w:tc>
        <w:tc>
          <w:tcPr>
            <w:tcW w:type="dxa" w:w="20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Visually clear within 15 min of dose</w:t>
            </w:r>
          </w:p>
        </w:tc>
        <w:tc>
          <w:tcPr>
            <w:tcW w:type="dxa" w:w="17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Each dose cycle initially</w:t>
            </w:r>
          </w:p>
        </w:tc>
        <w:tc>
          <w:tcPr>
            <w:tcW w:type="dxa" w:w="3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Persistent turbidity = sand not filtering — check for channelling or sand specification issue.</w:t>
            </w:r>
          </w:p>
        </w:tc>
      </w:tr>
    </w:tbl>
    <w:p>
      <w:pPr>
        <w:spacing w:before="80" w:after="80"/>
      </w:pPr>
    </w:p>
    <w:p>
      <w:pPr>
        <w:spacing w:before="80" w:after="120"/>
      </w:pPr>
      <w:r>
        <w:rPr>
          <w:rFonts w:ascii="Arial" w:cs="Arial" w:eastAsia="Arial" w:hAnsi="Arial"/>
          <w:color w:val="1c1c1c"/>
          <w:sz w:val="22"/>
          <w:szCs w:val="22"/>
        </w:rPr>
        <w:t xml:space="preserve">Testing equipment needed on site from day one: basic aquaponics test kit covering ammonia, nitrite, nitrate, pH. Available from any aquarium supplier in Naga. A dissolved oxygen meter is useful but not essential for proof of concept stage — visual fish behaviour is a reliable early indicator.</w:t>
      </w:r>
    </w:p>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4.  Grow Bed Crop Selection and Management</w:t>
      </w:r>
    </w:p>
    <w:p>
      <w:pPr>
        <w:spacing w:before="80" w:after="80"/>
      </w:pPr>
    </w:p>
    <w:p>
      <w:pPr>
        <w:pStyle w:val="Heading2"/>
        <w:spacing w:before="280" w:after="120"/>
      </w:pPr>
      <w:r>
        <w:rPr>
          <w:rFonts w:ascii="Arial" w:cs="Arial" w:eastAsia="Arial" w:hAnsi="Arial"/>
          <w:b/>
          <w:bCs/>
          <w:color w:val="4a7c59"/>
          <w:sz w:val="26"/>
          <w:szCs w:val="26"/>
        </w:rPr>
        <w:t xml:space="preserve">4.1  What iAVs Grows That Raft Cannot</w:t>
      </w:r>
    </w:p>
    <w:p>
      <w:pPr>
        <w:spacing w:before="80" w:after="120"/>
      </w:pPr>
      <w:r>
        <w:rPr>
          <w:rFonts w:ascii="Arial" w:cs="Arial" w:eastAsia="Arial" w:hAnsi="Arial"/>
          <w:color w:val="1c1c1c"/>
          <w:sz w:val="22"/>
          <w:szCs w:val="22"/>
        </w:rPr>
        <w:t xml:space="preserve">The critical commercial advantage of the sand bed system is root vegetable production. No raft or NFT aquaponic system can grow these crops. This is the direct supply line to Alejandro's Café for premium ingredients that are scarce or unavailable locally.</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none" w:color="ffffff" w:sz="0"/>
              <w:left w:val="none" w:color="ffffff" w:sz="0"/>
              <w:bottom w:val="none" w:color="ffffff" w:sz="0"/>
              <w:right w:val="none" w:color="ffffff" w:sz="0"/>
            </w:tcBorders>
            <w:tcMar>
              <w:top w:type="dxa" w:w="60"/>
              <w:left w:type="dxa" w:w="0"/>
              <w:bottom w:type="dxa" w:w="60"/>
              <w:right w:type="dxa" w:w="200"/>
            </w:tcMar>
          </w:tcPr>
          <w:p>
            <w:pPr>
              <w:spacing w:before="60" w:after="60"/>
            </w:pPr>
            <w:r>
              <w:rPr>
                <w:rFonts w:ascii="Arial" w:cs="Arial" w:eastAsia="Arial" w:hAnsi="Arial"/>
                <w:b/>
                <w:bCs/>
                <w:color w:val="2d5a38"/>
                <w:sz w:val="22"/>
                <w:szCs w:val="22"/>
              </w:rPr>
              <w:t xml:space="preserve">Leafy crops and herbs</w:t>
            </w:r>
          </w:p>
          <w:p>
            <w:pPr>
              <w:pStyle w:val="ListParagraph"/>
              <w:numPr>
                <w:ilvl w:val="0"/>
                <w:numId w:val="2"/>
              </w:numPr>
              <w:spacing w:before="60" w:after="60"/>
            </w:pPr>
            <w:r>
              <w:rPr>
                <w:rFonts w:ascii="Arial" w:cs="Arial" w:eastAsia="Arial" w:hAnsi="Arial"/>
                <w:color w:val="1c1c1c"/>
                <w:sz w:val="22"/>
                <w:szCs w:val="22"/>
              </w:rPr>
              <w:t xml:space="preserve">Pechay — 3–4 week cycle, high café volume</w:t>
            </w:r>
          </w:p>
          <w:p>
            <w:pPr>
              <w:pStyle w:val="ListParagraph"/>
              <w:numPr>
                <w:ilvl w:val="0"/>
                <w:numId w:val="2"/>
              </w:numPr>
              <w:spacing w:before="60" w:after="60"/>
            </w:pPr>
            <w:r>
              <w:rPr>
                <w:rFonts w:ascii="Arial" w:cs="Arial" w:eastAsia="Arial" w:hAnsi="Arial"/>
                <w:color w:val="1c1c1c"/>
                <w:sz w:val="22"/>
                <w:szCs w:val="22"/>
              </w:rPr>
              <w:t xml:space="preserve">Mustard greens — 3 week cycle</w:t>
            </w:r>
          </w:p>
          <w:p>
            <w:pPr>
              <w:pStyle w:val="ListParagraph"/>
              <w:numPr>
                <w:ilvl w:val="0"/>
                <w:numId w:val="2"/>
              </w:numPr>
              <w:spacing w:before="60" w:after="60"/>
            </w:pPr>
            <w:r>
              <w:rPr>
                <w:rFonts w:ascii="Arial" w:cs="Arial" w:eastAsia="Arial" w:hAnsi="Arial"/>
                <w:color w:val="1c1c1c"/>
                <w:sz w:val="22"/>
                <w:szCs w:val="22"/>
              </w:rPr>
              <w:t xml:space="preserve">Lettuce varieties — 4 week cycle</w:t>
            </w:r>
          </w:p>
          <w:p>
            <w:pPr>
              <w:pStyle w:val="ListParagraph"/>
              <w:numPr>
                <w:ilvl w:val="0"/>
                <w:numId w:val="2"/>
              </w:numPr>
              <w:spacing w:before="60" w:after="60"/>
            </w:pPr>
            <w:r>
              <w:rPr>
                <w:rFonts w:ascii="Arial" w:cs="Arial" w:eastAsia="Arial" w:hAnsi="Arial"/>
                <w:color w:val="1c1c1c"/>
                <w:sz w:val="22"/>
                <w:szCs w:val="22"/>
              </w:rPr>
              <w:t xml:space="preserve">Basil, coriander, Vietnamese mint</w:t>
            </w:r>
          </w:p>
          <w:p>
            <w:pPr>
              <w:pStyle w:val="ListParagraph"/>
              <w:numPr>
                <w:ilvl w:val="0"/>
                <w:numId w:val="2"/>
              </w:numPr>
              <w:spacing w:before="60" w:after="60"/>
            </w:pPr>
            <w:r>
              <w:rPr>
                <w:rFonts w:ascii="Arial" w:cs="Arial" w:eastAsia="Arial" w:hAnsi="Arial"/>
                <w:color w:val="1c1c1c"/>
                <w:sz w:val="22"/>
                <w:szCs w:val="22"/>
              </w:rPr>
              <w:t xml:space="preserve">Kangkong — continuous harvest, strips excess nutrients</w:t>
            </w:r>
          </w:p>
          <w:p>
            <w:pPr>
              <w:pStyle w:val="ListParagraph"/>
              <w:numPr>
                <w:ilvl w:val="0"/>
                <w:numId w:val="2"/>
              </w:numPr>
              <w:spacing w:before="60" w:after="60"/>
            </w:pPr>
            <w:r>
              <w:rPr>
                <w:rFonts w:ascii="Arial" w:cs="Arial" w:eastAsia="Arial" w:hAnsi="Arial"/>
                <w:color w:val="1c1c1c"/>
                <w:sz w:val="22"/>
                <w:szCs w:val="22"/>
              </w:rPr>
              <w:t xml:space="preserve">Watercress — premium café ingredient</w:t>
            </w:r>
          </w:p>
          <w:p>
            <w:pPr>
              <w:pStyle w:val="ListParagraph"/>
              <w:numPr>
                <w:ilvl w:val="0"/>
                <w:numId w:val="2"/>
              </w:numPr>
              <w:spacing w:before="60" w:after="60"/>
            </w:pPr>
            <w:r>
              <w:rPr>
                <w:rFonts w:ascii="Arial" w:cs="Arial" w:eastAsia="Arial" w:hAnsi="Arial"/>
                <w:color w:val="1c1c1c"/>
                <w:sz w:val="22"/>
                <w:szCs w:val="22"/>
              </w:rPr>
              <w:t xml:space="preserve">Lemongrass — café and market</w:t>
            </w:r>
          </w:p>
          <w:p>
            <w:pPr>
              <w:spacing w:before="80" w:after="80"/>
            </w:pPr>
          </w:p>
          <w:p>
            <w:pPr>
              <w:spacing w:before="60" w:after="60"/>
            </w:pPr>
            <w:r>
              <w:rPr>
                <w:rFonts w:ascii="Arial" w:cs="Arial" w:eastAsia="Arial" w:hAnsi="Arial"/>
                <w:b/>
                <w:bCs/>
                <w:color w:val="2d5a38"/>
                <w:sz w:val="22"/>
                <w:szCs w:val="22"/>
              </w:rPr>
              <w:t xml:space="preserve">Fruiting crops</w:t>
            </w:r>
          </w:p>
          <w:p>
            <w:pPr>
              <w:pStyle w:val="ListParagraph"/>
              <w:numPr>
                <w:ilvl w:val="0"/>
                <w:numId w:val="2"/>
              </w:numPr>
              <w:spacing w:before="60" w:after="60"/>
            </w:pPr>
            <w:r>
              <w:rPr>
                <w:rFonts w:ascii="Arial" w:cs="Arial" w:eastAsia="Arial" w:hAnsi="Arial"/>
                <w:color w:val="1c1c1c"/>
                <w:sz w:val="22"/>
                <w:szCs w:val="22"/>
              </w:rPr>
              <w:t xml:space="preserve">Tomatoes — vertical support on hoop ribs</w:t>
            </w:r>
          </w:p>
          <w:p>
            <w:pPr>
              <w:pStyle w:val="ListParagraph"/>
              <w:numPr>
                <w:ilvl w:val="0"/>
                <w:numId w:val="2"/>
              </w:numPr>
              <w:spacing w:before="60" w:after="60"/>
            </w:pPr>
            <w:r>
              <w:rPr>
                <w:rFonts w:ascii="Arial" w:cs="Arial" w:eastAsia="Arial" w:hAnsi="Arial"/>
                <w:color w:val="1c1c1c"/>
                <w:sz w:val="22"/>
                <w:szCs w:val="22"/>
              </w:rPr>
              <w:t xml:space="preserve">Capsicum and eggplant</w:t>
            </w:r>
          </w:p>
          <w:p>
            <w:pPr>
              <w:pStyle w:val="ListParagraph"/>
              <w:numPr>
                <w:ilvl w:val="0"/>
                <w:numId w:val="2"/>
              </w:numPr>
              <w:spacing w:before="60" w:after="60"/>
            </w:pPr>
            <w:r>
              <w:rPr>
                <w:rFonts w:ascii="Arial" w:cs="Arial" w:eastAsia="Arial" w:hAnsi="Arial"/>
                <w:color w:val="1c1c1c"/>
                <w:sz w:val="22"/>
                <w:szCs w:val="22"/>
              </w:rPr>
              <w:t xml:space="preserve">Cucumber and bitter melon (ampalaya)</w:t>
            </w:r>
          </w:p>
          <w:p>
            <w:pPr>
              <w:pStyle w:val="ListParagraph"/>
              <w:numPr>
                <w:ilvl w:val="0"/>
                <w:numId w:val="2"/>
              </w:numPr>
              <w:spacing w:before="60" w:after="60"/>
            </w:pPr>
            <w:r>
              <w:rPr>
                <w:rFonts w:ascii="Arial" w:cs="Arial" w:eastAsia="Arial" w:hAnsi="Arial"/>
                <w:color w:val="1c1c1c"/>
                <w:sz w:val="22"/>
                <w:szCs w:val="22"/>
              </w:rPr>
              <w:t xml:space="preserve">Sitaw (yard-long beans)</w:t>
            </w:r>
          </w:p>
          <w:p>
            <w:pPr>
              <w:pStyle w:val="ListParagraph"/>
              <w:numPr>
                <w:ilvl w:val="0"/>
                <w:numId w:val="2"/>
              </w:numPr>
              <w:spacing w:before="60" w:after="60"/>
            </w:pPr>
            <w:r>
              <w:rPr>
                <w:rFonts w:ascii="Arial" w:cs="Arial" w:eastAsia="Arial" w:hAnsi="Arial"/>
                <w:color w:val="1c1c1c"/>
                <w:sz w:val="22"/>
                <w:szCs w:val="22"/>
              </w:rPr>
              <w:t xml:space="preserve">Okra</w:t>
            </w:r>
          </w:p>
        </w:tc>
        <w:tc>
          <w:tcPr>
            <w:tcW w:type="dxa" w:w="4740"/>
            <w:tcBorders>
              <w:top w:val="none" w:color="ffffff" w:sz="0"/>
              <w:left w:val="none" w:color="ffffff" w:sz="0"/>
              <w:bottom w:val="none" w:color="ffffff" w:sz="0"/>
              <w:right w:val="none" w:color="ffffff" w:sz="0"/>
            </w:tcBorders>
            <w:tcMar>
              <w:top w:type="dxa" w:w="60"/>
              <w:left w:type="dxa" w:w="200"/>
              <w:bottom w:type="dxa" w:w="60"/>
              <w:right w:type="dxa" w:w="0"/>
            </w:tcMar>
          </w:tcPr>
          <w:p>
            <w:pPr>
              <w:spacing w:before="60" w:after="60"/>
            </w:pPr>
            <w:r>
              <w:rPr>
                <w:rFonts w:ascii="Arial" w:cs="Arial" w:eastAsia="Arial" w:hAnsi="Arial"/>
                <w:b/>
                <w:bCs/>
                <w:color w:val="00a8a8"/>
                <w:sz w:val="22"/>
                <w:szCs w:val="22"/>
              </w:rPr>
              <w:t xml:space="preserve">Root vegetables — iAVs exclusive</w:t>
            </w:r>
          </w:p>
          <w:p>
            <w:pPr>
              <w:pStyle w:val="ListParagraph"/>
              <w:numPr>
                <w:ilvl w:val="0"/>
                <w:numId w:val="2"/>
              </w:numPr>
              <w:spacing w:before="60" w:after="60"/>
            </w:pPr>
            <w:r>
              <w:rPr>
                <w:rFonts w:ascii="Arial" w:cs="Arial" w:eastAsia="Arial" w:hAnsi="Arial"/>
                <w:color w:val="1c1c1c"/>
                <w:sz w:val="22"/>
                <w:szCs w:val="22"/>
              </w:rPr>
              <w:t xml:space="preserve">Camote (sweet potato) — vines trail over surface, tubers in sand</w:t>
            </w:r>
          </w:p>
          <w:p>
            <w:pPr>
              <w:pStyle w:val="ListParagraph"/>
              <w:numPr>
                <w:ilvl w:val="0"/>
                <w:numId w:val="2"/>
              </w:numPr>
              <w:spacing w:before="60" w:after="60"/>
            </w:pPr>
            <w:r>
              <w:rPr>
                <w:rFonts w:ascii="Arial" w:cs="Arial" w:eastAsia="Arial" w:hAnsi="Arial"/>
                <w:color w:val="1c1c1c"/>
                <w:sz w:val="22"/>
                <w:szCs w:val="22"/>
              </w:rPr>
              <w:t xml:space="preserve">Carrots — rarely grown locally, premium price</w:t>
            </w:r>
          </w:p>
          <w:p>
            <w:pPr>
              <w:pStyle w:val="ListParagraph"/>
              <w:numPr>
                <w:ilvl w:val="0"/>
                <w:numId w:val="2"/>
              </w:numPr>
              <w:spacing w:before="60" w:after="60"/>
            </w:pPr>
            <w:r>
              <w:rPr>
                <w:rFonts w:ascii="Arial" w:cs="Arial" w:eastAsia="Arial" w:hAnsi="Arial"/>
                <w:color w:val="1c1c1c"/>
                <w:sz w:val="22"/>
                <w:szCs w:val="22"/>
              </w:rPr>
              <w:t xml:space="preserve">Radish — fast cycle 3–4 weeks, good gap filler</w:t>
            </w:r>
          </w:p>
          <w:p>
            <w:pPr>
              <w:pStyle w:val="ListParagraph"/>
              <w:numPr>
                <w:ilvl w:val="0"/>
                <w:numId w:val="2"/>
              </w:numPr>
              <w:spacing w:before="60" w:after="60"/>
            </w:pPr>
            <w:r>
              <w:rPr>
                <w:rFonts w:ascii="Arial" w:cs="Arial" w:eastAsia="Arial" w:hAnsi="Arial"/>
                <w:color w:val="1c1c1c"/>
                <w:sz w:val="22"/>
                <w:szCs w:val="22"/>
              </w:rPr>
              <w:t xml:space="preserve">Beetroot — café demand, essentially unavailable in Ragay</w:t>
            </w:r>
          </w:p>
          <w:p>
            <w:pPr>
              <w:pStyle w:val="ListParagraph"/>
              <w:numPr>
                <w:ilvl w:val="0"/>
                <w:numId w:val="2"/>
              </w:numPr>
              <w:spacing w:before="60" w:after="60"/>
            </w:pPr>
            <w:r>
              <w:rPr>
                <w:rFonts w:ascii="Arial" w:cs="Arial" w:eastAsia="Arial" w:hAnsi="Arial"/>
                <w:color w:val="1c1c1c"/>
                <w:sz w:val="22"/>
                <w:szCs w:val="22"/>
              </w:rPr>
              <w:t xml:space="preserve">Ginger and turmeric — high value, long cycle</w:t>
            </w:r>
          </w:p>
          <w:p>
            <w:pPr>
              <w:spacing w:before="80" w:after="80"/>
            </w:pPr>
          </w:p>
          <w:p>
            <w:pPr>
              <w:spacing w:before="60" w:after="60"/>
            </w:pPr>
            <w:r>
              <w:rPr>
                <w:rFonts w:ascii="Arial" w:cs="Arial" w:eastAsia="Arial" w:hAnsi="Arial"/>
                <w:b/>
                <w:bCs/>
                <w:color w:val="4a7c59"/>
                <w:sz w:val="22"/>
                <w:szCs w:val="22"/>
              </w:rPr>
              <w:t xml:space="preserve">Planting strategy</w:t>
            </w:r>
          </w:p>
          <w:p>
            <w:pPr>
              <w:pStyle w:val="ListParagraph"/>
              <w:numPr>
                <w:ilvl w:val="0"/>
                <w:numId w:val="2"/>
              </w:numPr>
              <w:spacing w:before="60" w:after="60"/>
            </w:pPr>
            <w:r>
              <w:rPr>
                <w:rFonts w:ascii="Arial" w:cs="Arial" w:eastAsia="Arial" w:hAnsi="Arial"/>
                <w:color w:val="1c1c1c"/>
                <w:sz w:val="22"/>
                <w:szCs w:val="22"/>
              </w:rPr>
              <w:t xml:space="preserve">50% fruiting / 50% leafy mix across all beds — prevents nutrient deficiencies</w:t>
            </w:r>
          </w:p>
          <w:p>
            <w:pPr>
              <w:pStyle w:val="ListParagraph"/>
              <w:numPr>
                <w:ilvl w:val="0"/>
                <w:numId w:val="2"/>
              </w:numPr>
              <w:spacing w:before="60" w:after="60"/>
            </w:pPr>
            <w:r>
              <w:rPr>
                <w:rFonts w:ascii="Arial" w:cs="Arial" w:eastAsia="Arial" w:hAnsi="Arial"/>
                <w:color w:val="1c1c1c"/>
                <w:sz w:val="22"/>
                <w:szCs w:val="22"/>
              </w:rPr>
              <w:t xml:space="preserve">Stagger planting dates — constant harvest, no glut and gap</w:t>
            </w:r>
          </w:p>
          <w:p>
            <w:pPr>
              <w:pStyle w:val="ListParagraph"/>
              <w:numPr>
                <w:ilvl w:val="0"/>
                <w:numId w:val="2"/>
              </w:numPr>
              <w:spacing w:before="60" w:after="60"/>
            </w:pPr>
            <w:r>
              <w:rPr>
                <w:rFonts w:ascii="Arial" w:cs="Arial" w:eastAsia="Arial" w:hAnsi="Arial"/>
                <w:color w:val="1c1c1c"/>
                <w:sz w:val="22"/>
                <w:szCs w:val="22"/>
              </w:rPr>
              <w:t xml:space="preserve">Fast-cycle crops in first beds — system feedback within 3 weeks</w:t>
            </w:r>
          </w:p>
          <w:p>
            <w:pPr>
              <w:pStyle w:val="ListParagraph"/>
              <w:numPr>
                <w:ilvl w:val="0"/>
                <w:numId w:val="2"/>
              </w:numPr>
              <w:spacing w:before="60" w:after="60"/>
            </w:pPr>
            <w:r>
              <w:rPr>
                <w:rFonts w:ascii="Arial" w:cs="Arial" w:eastAsia="Arial" w:hAnsi="Arial"/>
                <w:color w:val="1c1c1c"/>
                <w:sz w:val="22"/>
                <w:szCs w:val="22"/>
              </w:rPr>
              <w:t xml:space="preserve">Root vegetables in dedicated beds — don't mix with shallow-rooted crops</w:t>
            </w:r>
          </w:p>
        </w:tc>
      </w:tr>
    </w:tbl>
    <w:p>
      <w:pPr>
        <w:spacing w:before="80" w:after="80"/>
      </w:pPr>
    </w:p>
    <w:p>
      <w:pPr>
        <w:pStyle w:val="Heading2"/>
        <w:spacing w:before="280" w:after="120"/>
      </w:pPr>
      <w:r>
        <w:rPr>
          <w:rFonts w:ascii="Arial" w:cs="Arial" w:eastAsia="Arial" w:hAnsi="Arial"/>
          <w:b/>
          <w:bCs/>
          <w:color w:val="4a7c59"/>
          <w:sz w:val="26"/>
          <w:szCs w:val="26"/>
        </w:rPr>
        <w:t xml:space="preserve">4.2  First Planting — Proof of Concept Sequence</w:t>
      </w:r>
    </w:p>
    <w:p>
      <w:pPr>
        <w:spacing w:before="80" w:after="120"/>
      </w:pPr>
      <w:r>
        <w:rPr>
          <w:rFonts w:ascii="Arial" w:cs="Arial" w:eastAsia="Arial" w:hAnsi="Arial"/>
          <w:color w:val="1c1c1c"/>
          <w:sz w:val="22"/>
          <w:szCs w:val="22"/>
        </w:rPr>
        <w:t xml:space="preserve">These are the crops to start with in the first 4–5 beds before expanding to the full crop range. They give rapid feedback on system health and start supplying the café while the system matures.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4360"/>
        <w:gridCol w:w="1400"/>
      </w:tblGrid>
      <w:tr>
        <w:tc>
          <w:tcPr>
            <w:tcW w:type="dxa" w:w="1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Bed</w:t>
            </w:r>
          </w:p>
        </w:tc>
        <w:tc>
          <w:tcPr>
            <w:tcW w:type="dxa" w:w="24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Crop</w:t>
            </w:r>
          </w:p>
        </w:tc>
        <w:tc>
          <w:tcPr>
            <w:tcW w:type="dxa" w:w="43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Reason</w:t>
            </w:r>
          </w:p>
        </w:tc>
        <w:tc>
          <w:tcPr>
            <w:tcW w:type="dxa" w:w="14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Cycle</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Bed 1</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Pechay and mustard greens</w:t>
            </w:r>
          </w:p>
        </w:tc>
        <w:tc>
          <w:tcPr>
            <w:tcW w:type="dxa" w:w="43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Fastest feedback — 3 weeks shows if nutrients are balanced</w:t>
            </w:r>
          </w:p>
        </w:tc>
        <w:tc>
          <w:tcPr>
            <w:tcW w:type="dxa" w:w="1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3–4 weeks</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Bed 2</w:t>
            </w:r>
          </w:p>
        </w:tc>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Kangkong</w:t>
            </w:r>
          </w:p>
        </w:tc>
        <w:tc>
          <w:tcPr>
            <w:tcW w:type="dxa" w:w="43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Strips excess nutrients, extremely fast, continuous harvest</w:t>
            </w:r>
          </w:p>
        </w:tc>
        <w:tc>
          <w:tcPr>
            <w:tcW w:type="dxa" w:w="1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2–3 weeks to first cut</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Bed 3</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Basil, coriander, Vietnamese mint</w:t>
            </w:r>
          </w:p>
        </w:tc>
        <w:tc>
          <w:tcPr>
            <w:tcW w:type="dxa" w:w="43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Café direct supply, high value per square metre</w:t>
            </w:r>
          </w:p>
        </w:tc>
        <w:tc>
          <w:tcPr>
            <w:tcW w:type="dxa" w:w="1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4–6 weeks</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Bed 4</w:t>
            </w:r>
          </w:p>
        </w:tc>
        <w:tc>
          <w:tcPr>
            <w:tcW w:type="dxa" w:w="2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Tomatoes (one variety)</w:t>
            </w:r>
          </w:p>
        </w:tc>
        <w:tc>
          <w:tcPr>
            <w:tcW w:type="dxa" w:w="43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Tests fruiting crop capability, long season gives full system read</w:t>
            </w:r>
          </w:p>
        </w:tc>
        <w:tc>
          <w:tcPr>
            <w:tcW w:type="dxa" w:w="14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10–12 weeks to fruit</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Bed 5</w:t>
            </w:r>
          </w:p>
        </w:tc>
        <w:tc>
          <w:tcPr>
            <w:tcW w:type="dxa" w:w="2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Carrot trial</w:t>
            </w:r>
          </w:p>
        </w:tc>
        <w:tc>
          <w:tcPr>
            <w:tcW w:type="dxa" w:w="43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Tests root vegetable performance specific to your sand and water</w:t>
            </w:r>
          </w:p>
        </w:tc>
        <w:tc>
          <w:tcPr>
            <w:tcW w:type="dxa" w:w="14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10–12 weeks</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START WITH FAST CROPS</w:t>
            </w:r>
          </w:p>
        </w:tc>
        <w:tc>
          <w:tcPr>
            <w:tcW w:type="dxa" w:w="8160"/>
            <w:tcBorders>
              <w:top w:val="single" w:color="cdd8ce" w:sz="1"/>
              <w:left w:val="single" w:color="cdd8ce" w:sz="1"/>
              <w:bottom w:val="single" w:color="cdd8ce" w:sz="1"/>
              <w:right w:val="single" w:color="cdd8ce" w:sz="1"/>
            </w:tcBorders>
            <w:shd w:fill="E8F5E9" w:val="clear"/>
            <w:tcMar>
              <w:top w:type="dxa" w:w="100"/>
              <w:left w:type="dxa" w:w="160"/>
              <w:bottom w:type="dxa" w:w="100"/>
              <w:right w:type="dxa" w:w="160"/>
            </w:tcMar>
          </w:tcPr>
          <w:p>
            <w:r>
              <w:rPr>
                <w:rFonts w:ascii="Arial" w:cs="Arial" w:eastAsia="Arial" w:hAnsi="Arial"/>
                <w:color w:val="1c1c1c"/>
                <w:sz w:val="22"/>
                <w:szCs w:val="22"/>
              </w:rPr>
              <w:t xml:space="preserve">The first 8–12 weeks are about reading the system, not maximising yield. Pechay tells you in 3 weeks what a tomato takes 12 weeks to tell you. Fast crops first, premium crops once you understand your water chemistry and fish load balance.</w:t>
            </w:r>
          </w:p>
        </w:tc>
      </w:tr>
    </w:tbl>
    <w:p>
      <w:pPr>
        <w:spacing w:before="80" w:after="80"/>
      </w:pPr>
    </w:p>
    <w:p>
      <w:pPr>
        <w:pBdr>
          <w:bottom w:val="single" w:color="cdd8ce" w:sz="4" w:space="1"/>
        </w:pBdr>
        <w:spacing w:before="160" w:after="160"/>
      </w:pPr>
    </w:p>
    <w:p>
      <w:pPr>
        <w:pStyle w:val="Heading1"/>
        <w:spacing w:before="360" w:after="160"/>
      </w:pPr>
      <w:r>
        <w:rPr>
          <w:rFonts w:ascii="Arial" w:cs="Arial" w:eastAsia="Arial" w:hAnsi="Arial"/>
          <w:b/>
          <w:bCs/>
          <w:color w:val="2d5a38"/>
          <w:sz w:val="32"/>
          <w:szCs w:val="32"/>
        </w:rPr>
        <w:t xml:space="preserve">5.  System Startup Checklist — Sequence to First Harvest</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4560"/>
        <w:gridCol w:w="3600"/>
      </w:tblGrid>
      <w:tr>
        <w:tc>
          <w:tcPr>
            <w:tcW w:type="dxa" w:w="12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Week</w:t>
            </w:r>
          </w:p>
        </w:tc>
        <w:tc>
          <w:tcPr>
            <w:tcW w:type="dxa" w:w="456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w:t>
            </w:r>
          </w:p>
        </w:tc>
        <w:tc>
          <w:tcPr>
            <w:tcW w:type="dxa" w:w="360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Completion check</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Pre-build</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Conduct river water baseline test at intake point</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Independent lab results filed — zero-day benchmark locked in</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Pre-build</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Source and test sand (field tests: vinegar, turbidity, percolation)</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All three tests pass — sand approved</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Pre-build</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Order fingerlings from DA hatchery or local supplier</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Delivery date confirmed for Week 5–6</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 1</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Build drain tray with consistent fall to outlet</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Fall verified with level — no ponding areas</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 1</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Set up IBC halves — drill drain holes, shade cloth, gravel base</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All holes covered, gravel layer even</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 2</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Fill beds with sand to 400mm — flood, settle, drain</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Sand level even, drain holes clear</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 2</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Form ridges and furrows across all beds</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Ridge and furrow pattern consistent across full bed length</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 2</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Install feed manifold on each bed</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Even water distribution confirmed across full bed width</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 2</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Install three-way divert valve — label NORMAL and FLUSH</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Valve operates freely, labels clear, all staff briefed</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 3</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inoculation — taro pond water flush through all beds</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Drain water initially slightly turbid — normal</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 3–4</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Pre-plant cycling — river water twice daily</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Drain water visually clear by day 7–10</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 4</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Commission pond — fill, run bubblers, test water parameters</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Ammonia 0, pH 7.0–7.5, DO &gt;5mg/L</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 5</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Stock fingerlings — 150–200 Nile tilapia</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Fish active and feeding within 24 hours</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 5</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Begin feeding twice daily at 3% biomass</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Feeding confirmed morning and afternoon</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 6</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Plant first beds (Bed 1–3: pechay, kangkong, herbs)</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Seeds or seedlings in ridges — crowns above sand surface</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 7–8</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water parameter readings</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Ammonia &lt;0.5, nitrite &lt;0.5, pH 6.8–7.2</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 8</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Plant fruiting and root crop beds (Bed 4–5)</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Tomato seedlings supported on hoop ribs, carrot seeds in sand</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Week 10–12</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First harvest — pechay, kangkong, herbs</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Supply to Alejandro's Café begins</w:t>
            </w:r>
          </w:p>
        </w:tc>
      </w:tr>
      <w:tr>
        <w:tc>
          <w:tcPr>
            <w:tcW w:type="dxa" w:w="12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Week 12</w:t>
            </w:r>
          </w:p>
        </w:tc>
        <w:tc>
          <w:tcPr>
            <w:tcW w:type="dxa" w:w="456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Comparative water quality test at creek return point</w:t>
            </w:r>
          </w:p>
        </w:tc>
        <w:tc>
          <w:tcPr>
            <w:tcW w:type="dxa" w:w="360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Parameters better than river intake — document for ag dept</w:t>
            </w:r>
          </w:p>
        </w:tc>
      </w:tr>
      <w:tr>
        <w:tc>
          <w:tcPr>
            <w:tcW w:type="dxa" w:w="12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Month 4</w:t>
            </w:r>
          </w:p>
        </w:tc>
        <w:tc>
          <w:tcPr>
            <w:tcW w:type="dxa" w:w="456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Invite DA regional office for site visit</w:t>
            </w:r>
          </w:p>
        </w:tc>
        <w:tc>
          <w:tcPr>
            <w:tcW w:type="dxa" w:w="360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Water quality data presented — demonstration site designation discussed</w:t>
            </w:r>
          </w:p>
        </w:tc>
      </w:tr>
    </w:tbl>
    <w:p>
      <w:pPr>
        <w:spacing w:before="80" w:after="80"/>
      </w:pPr>
    </w:p>
    <w:p>
      <w:pPr>
        <w:pBdr>
          <w:bottom w:val="single" w:color="cdd8ce" w:sz="4" w:space="1"/>
        </w:pBdr>
        <w:spacing w:before="160" w:after="160"/>
      </w:pPr>
    </w:p>
    <w:p>
      <w:pPr>
        <w:spacing w:before="320" w:after="160"/>
        <w:jc w:val="center"/>
      </w:pPr>
      <w:r>
        <w:rPr>
          <w:rFonts w:ascii="Arial" w:cs="Arial" w:eastAsia="Arial" w:hAnsi="Arial"/>
          <w:b/>
          <w:bCs/>
          <w:color w:val="2d5a38"/>
          <w:sz w:val="28"/>
          <w:szCs w:val="28"/>
        </w:rPr>
        <w:t xml:space="preserve">Nana Bambi's Place</w:t>
      </w:r>
    </w:p>
    <w:p>
      <w:pPr>
        <w:spacing w:before="0" w:after="80"/>
        <w:jc w:val="center"/>
      </w:pPr>
      <w:r>
        <w:rPr>
          <w:rFonts w:ascii="Arial" w:cs="Arial" w:eastAsia="Arial" w:hAnsi="Arial"/>
          <w:color w:val="888888"/>
          <w:sz w:val="20"/>
          <w:szCs w:val="20"/>
        </w:rPr>
        <w:t xml:space="preserve">Ragay, Camarines Sur, Bicol,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Pugod iAVs System</w:t>
    </w:r>
    <w:r>
      <w:rPr>
        <w:rFonts w:ascii="Arial" w:cs="Arial" w:eastAsia="Arial" w:hAnsi="Arial"/>
        <w:sz w:val="18"/>
        <w:szCs w:val="18"/>
      </w:rPr>
      <w:t xml:space="preserve">	</w:t>
    </w:r>
    <w:r>
      <w:rPr>
        <w:rFonts w:ascii="Arial" w:cs="Arial" w:eastAsia="Arial" w:hAnsi="Arial"/>
        <w:color w:val="999999"/>
        <w:sz w:val="16"/>
        <w:szCs w:val="16"/>
      </w:rPr>
      <w:t xml:space="preserve">TECHNICAL OPERATIONS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2d5a38"/>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4a7c59"/>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00a8a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2026-03-15T01:39:22.913Z</dcterms:created>
  <dcterms:modified xsi:type="dcterms:W3CDTF">2026-03-15T01:39:22.914Z</dcterms:modified>
</cp:coreProperties>
</file>

<file path=docProps/custom.xml><?xml version="1.0" encoding="utf-8"?>
<Properties xmlns="http://schemas.openxmlformats.org/officeDocument/2006/custom-properties" xmlns:vt="http://schemas.openxmlformats.org/officeDocument/2006/docPropsVTypes"/>
</file>