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200"/>
        <w:jc w:val="center"/>
      </w:pPr>
      <w:r>
        <w:rPr>
          <w:rFonts w:ascii="Arial" w:cs="Arial" w:eastAsia="Arial" w:hAnsi="Arial"/>
          <w:b/>
          <w:bCs/>
          <w:color w:val="2E5238"/>
          <w:sz w:val="52"/>
          <w:szCs w:val="52"/>
        </w:rPr>
        <w:t xml:space="preserve">NANA BAMBI'S PLACE</w:t>
      </w:r>
    </w:p>
    <w:p>
      <w:pPr>
        <w:spacing w:before="0" w:after="120"/>
        <w:jc w:val="center"/>
      </w:pPr>
      <w:r>
        <w:rPr>
          <w:rFonts w:ascii="Arial" w:cs="Arial" w:eastAsia="Arial" w:hAnsi="Arial"/>
          <w:color w:val="4A7C59"/>
          <w:sz w:val="24"/>
          <w:szCs w:val="24"/>
        </w:rPr>
        <w:t xml:space="preserve">Ragay, Camarines Sur, Bicol, Philippines</w:t>
      </w:r>
    </w:p>
    <w:p>
      <w:pPr>
        <w:spacing w:before="0" w:after="400"/>
        <w:jc w:val="center"/>
      </w:pPr>
      <w:r>
        <w:rPr>
          <w:rFonts w:ascii="Arial" w:cs="Arial" w:eastAsia="Arial" w:hAnsi="Arial"/>
          <w:b/>
          <w:bCs/>
          <w:color w:val="C8842A"/>
          <w:sz w:val="26"/>
          <w:szCs w:val="26"/>
        </w:rPr>
        <w:t xml:space="preserve">Session Handover — Tax · Corridor · Panaderia · Code Brief</w:t>
      </w:r>
    </w:p>
    <w:p>
      <w:pPr>
        <w:spacing w:before="0" w:after="80"/>
        <w:jc w:val="center"/>
      </w:pPr>
      <w:r>
        <w:rPr>
          <w:rFonts w:ascii="Arial" w:cs="Arial" w:eastAsia="Arial" w:hAnsi="Arial"/>
          <w:color w:val="4A7C59"/>
          <w:sz w:val="18"/>
          <w:szCs w:val="18"/>
        </w:rPr>
        <w:t xml:space="preserve">March 2026  ·  Aido &amp; Aileen Mulkerrins  ·  Confidential</w:t>
      </w:r>
    </w:p>
    <w:p>
      <w:pPr>
        <w:spacing w:before="80" w:after="80"/>
      </w:pPr>
      <w:r>
        <w:t xml:space="preserve"/>
      </w:r>
    </w:p>
    <w:p>
      <w:r>
        <w:br/>
      </w:r>
    </w:p>
    <w:p>
      <w:pPr>
        <w:pStyle w:val="Heading1"/>
        <w:spacing w:before="360" w:after="120"/>
      </w:pPr>
      <w:r>
        <w:rPr>
          <w:rFonts w:ascii="Arial" w:cs="Arial" w:eastAsia="Arial" w:hAnsi="Arial"/>
          <w:b/>
          <w:bCs/>
          <w:color w:val="2E5238"/>
          <w:sz w:val="32"/>
          <w:szCs w:val="32"/>
        </w:rPr>
        <w:t xml:space="preserve">1. Philippine Tax Strategy</w:t>
      </w:r>
    </w:p>
    <w:p>
      <w:pPr>
        <w:spacing w:before="60" w:after="60"/>
      </w:pPr>
      <w:r>
        <w:rPr>
          <w:rFonts w:ascii="Arial" w:cs="Arial" w:eastAsia="Arial" w:hAnsi="Arial"/>
          <w:b w:val="false"/>
          <w:bCs w:val="false"/>
          <w:color w:val="1A1A1A"/>
          <w:sz w:val="20"/>
          <w:szCs w:val="20"/>
        </w:rPr>
        <w:t xml:space="preserve">All tax points validated against Philippine BIR rules. A Bicol-based CPA must confirm all registration decisions before trading begins. This is not optional.</w:t>
      </w:r>
    </w:p>
    <w:p>
      <w:pPr>
        <w:spacing w:before="80" w:after="80"/>
      </w:pPr>
      <w:r>
        <w:t xml:space="preserve"/>
      </w:r>
    </w:p>
    <w:p>
      <w:pPr>
        <w:pStyle w:val="Heading2"/>
        <w:spacing w:before="280" w:after="100"/>
      </w:pPr>
      <w:r>
        <w:rPr>
          <w:rFonts w:ascii="Arial" w:cs="Arial" w:eastAsia="Arial" w:hAnsi="Arial"/>
          <w:b/>
          <w:bCs/>
          <w:color w:val="4A7C59"/>
          <w:sz w:val="26"/>
          <w:szCs w:val="26"/>
        </w:rPr>
        <w:t xml:space="preserve">1.1 Why the Model Works in the Philippines</w:t>
      </w:r>
    </w:p>
    <w:p>
      <w:pPr>
        <w:spacing w:before="60" w:after="60"/>
      </w:pPr>
      <w:r>
        <w:rPr>
          <w:rFonts w:ascii="Arial" w:cs="Arial" w:eastAsia="Arial" w:hAnsi="Arial"/>
          <w:b w:val="false"/>
          <w:bCs w:val="false"/>
          <w:color w:val="1A1A1A"/>
          <w:sz w:val="20"/>
          <w:szCs w:val="20"/>
        </w:rPr>
        <w:t xml:space="preserve">Labour costs support full staffing across all 12 spokes. Land is already in the family. The Philippine tax code contains multiple concessions stacked specifically for agricultural and rural enterprises. The same model fails in Australia because award wages, land cost, and tax complexity break all three assumptions simultaneously.</w:t>
      </w:r>
    </w:p>
    <w:p>
      <w:pPr>
        <w:spacing w:before="80" w:after="80"/>
      </w:pPr>
      <w:r>
        <w:t xml:space="preserve"/>
      </w:r>
    </w:p>
    <w:p>
      <w:pPr>
        <w:pStyle w:val="Heading2"/>
        <w:spacing w:before="280" w:after="100"/>
      </w:pPr>
      <w:r>
        <w:rPr>
          <w:rFonts w:ascii="Arial" w:cs="Arial" w:eastAsia="Arial" w:hAnsi="Arial"/>
          <w:b/>
          <w:bCs/>
          <w:color w:val="4A7C59"/>
          <w:sz w:val="26"/>
          <w:szCs w:val="26"/>
        </w:rPr>
        <w:t xml:space="preserve">1.2 Corporate Income Tax</w:t>
      </w:r>
    </w:p>
    <w:p>
      <w:pPr>
        <w:spacing w:before="60" w:after="60"/>
      </w:pPr>
      <w:r>
        <w:rPr>
          <w:rFonts w:ascii="Arial" w:cs="Arial" w:eastAsia="Arial" w:hAnsi="Arial"/>
          <w:b w:val="false"/>
          <w:bCs w:val="false"/>
          <w:color w:val="1A1A1A"/>
          <w:sz w:val="20"/>
          <w:szCs w:val="20"/>
        </w:rPr>
        <w:t xml:space="preserve">Standard rate: 25% on net taxable income. Below ₱5M net income AND ₱100M total assets (excluding land): rate drops to 20%. The business will almost certainly sit inside the 20% threshold in early trading years.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7C59" w:sz="4"/>
              <w:left w:val="single" w:color="4A7C59" w:sz="12"/>
              <w:bottom w:val="single" w:color="4A7C59" w:sz="4"/>
              <w:right w:val="single" w:color="4A7C59" w:sz="4"/>
            </w:tcBorders>
            <w:shd w:fill="F7F3EC" w:val="clear"/>
            <w:tcMar>
              <w:top w:type="dxa" w:w="120"/>
              <w:left w:type="dxa" w:w="180"/>
              <w:bottom w:type="dxa" w:w="120"/>
              <w:right w:type="dxa" w:w="120"/>
            </w:tcMar>
          </w:tcPr>
          <w:p>
            <w:pPr>
              <w:spacing w:before="0" w:after="0"/>
            </w:pPr>
            <w:r>
              <w:rPr>
                <w:rFonts w:ascii="Arial" w:cs="Arial" w:eastAsia="Arial" w:hAnsi="Arial"/>
                <w:color w:val="1A1A1A"/>
                <w:sz w:val="19"/>
                <w:szCs w:val="19"/>
              </w:rPr>
              <w:t xml:space="preserve">Every invoice addressed to the registered business entity from day one. Construction, feeds, fuel, accommodation, equipment — every peso spent building the enterprise in the business name is a deductible expense that reduces the net taxable base.</w:t>
            </w:r>
          </w:p>
        </w:tc>
      </w:tr>
    </w:tbl>
    <w:p>
      <w:pPr>
        <w:spacing w:before="80" w:after="80"/>
      </w:pPr>
      <w:r>
        <w:t xml:space="preserve"/>
      </w:r>
    </w:p>
    <w:p>
      <w:pPr>
        <w:pStyle w:val="Heading2"/>
        <w:spacing w:before="280" w:after="100"/>
      </w:pPr>
      <w:r>
        <w:rPr>
          <w:rFonts w:ascii="Arial" w:cs="Arial" w:eastAsia="Arial" w:hAnsi="Arial"/>
          <w:b/>
          <w:bCs/>
          <w:color w:val="4A7C59"/>
          <w:sz w:val="26"/>
          <w:szCs w:val="26"/>
        </w:rPr>
        <w:t xml:space="preserve">1.3 Full Deductions 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4A7C59" w:val="clear"/>
            <w:tcMar>
              <w:top w:type="dxa" w:w="80"/>
              <w:left w:type="dxa" w:w="120"/>
              <w:bottom w:type="dxa" w:w="80"/>
              <w:right w:type="dxa" w:w="120"/>
            </w:tcMar>
          </w:tcPr>
          <w:p>
            <w:r>
              <w:rPr>
                <w:rFonts w:ascii="Arial" w:cs="Arial" w:eastAsia="Arial" w:hAnsi="Arial"/>
                <w:b/>
                <w:bCs/>
                <w:color w:val="FFFFFF"/>
                <w:sz w:val="19"/>
                <w:szCs w:val="19"/>
              </w:rPr>
              <w:t xml:space="preserve">Deduction</w:t>
            </w:r>
          </w:p>
        </w:tc>
        <w:tc>
          <w:tcPr>
            <w:tcW w:type="dxa" w:w="4680"/>
            <w:tcBorders>
              <w:top w:val="single" w:color="CCCCCC" w:sz="1"/>
              <w:left w:val="single" w:color="CCCCCC" w:sz="1"/>
              <w:bottom w:val="single" w:color="CCCCCC" w:sz="1"/>
              <w:right w:val="single" w:color="CCCCCC" w:sz="1"/>
            </w:tcBorders>
            <w:shd w:fill="4A7C59" w:val="clear"/>
            <w:tcMar>
              <w:top w:type="dxa" w:w="80"/>
              <w:left w:type="dxa" w:w="120"/>
              <w:bottom w:type="dxa" w:w="80"/>
              <w:right w:type="dxa" w:w="120"/>
            </w:tcMar>
          </w:tcPr>
          <w:p>
            <w:r>
              <w:rPr>
                <w:rFonts w:ascii="Arial" w:cs="Arial" w:eastAsia="Arial" w:hAnsi="Arial"/>
                <w:b/>
                <w:bCs/>
                <w:color w:val="FFFFFF"/>
                <w:sz w:val="19"/>
                <w:szCs w:val="19"/>
              </w:rPr>
              <w:t xml:space="preserve">Notes</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All wages — FT and casual</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Fully deductible. Every peso in wages reduces net taxable income.</w:t>
            </w:r>
          </w:p>
        </w:tc>
      </w:tr>
      <w:tr>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9"/>
                <w:szCs w:val="19"/>
              </w:rPr>
              <w:t xml:space="preserve">Aileen CEO wage ₱60K/month</w:t>
            </w:r>
          </w:p>
        </w:tc>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₱720K/year deduction. Reduces company CIT by ~₱144K at 20% rate.</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SSS / PhilHealth / Pag-IBIG — employer share</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Mandatory contributions are deductible. Net real cost after tax saving is lower than headline figure.</w:t>
            </w:r>
          </w:p>
        </w:tc>
      </w:tr>
      <w:tr>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9"/>
                <w:szCs w:val="19"/>
              </w:rPr>
              <w:t xml:space="preserve">Fleet loan interest</w:t>
            </w:r>
          </w:p>
        </w:tc>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Deductible in year incurred. Principal repayments are NOT deductible — they come out of post-tax cash.</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Fleet fuel, maintenance, insurance</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All deductible. Keep fuel receipts and a basic trip log.</w:t>
            </w:r>
          </w:p>
        </w:tc>
      </w:tr>
      <w:tr>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9"/>
                <w:szCs w:val="19"/>
              </w:rPr>
              <w:t xml:space="preserve">Manager's residence — running costs</w:t>
            </w:r>
          </w:p>
        </w:tc>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Power, water, maintenance all fully expensable as business operating cost.</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Manager's residence — depreciation</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20-year straight-line. 1/20th of build cost reduces taxable income every year.</w:t>
            </w:r>
          </w:p>
        </w:tc>
      </w:tr>
      <w:tr>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9"/>
                <w:szCs w:val="19"/>
              </w:rPr>
              <w:t xml:space="preserve">Container assets — depreciation</w:t>
            </w:r>
          </w:p>
        </w:tc>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Reefers and dry containers 10-year schedule. Reclassify on redeployment — do not write off.</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Fleet vehicles — depreciation</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5-year straight-line across all vehicles.</w:t>
            </w:r>
          </w:p>
        </w:tc>
      </w:tr>
      <w:tr>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9"/>
                <w:szCs w:val="19"/>
              </w:rPr>
              <w:t xml:space="preserve">Kitchen and cold chain equipment</w:t>
            </w:r>
          </w:p>
        </w:tc>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5-year depreciation schedule.</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COGS — bought-in produce, feeds, packaging</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All cost of goods sold is deductible.</w:t>
            </w:r>
          </w:p>
        </w:tc>
      </w:tr>
      <w:tr>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9"/>
                <w:szCs w:val="19"/>
              </w:rPr>
              <w:t xml:space="preserve">Professional fees — CPA, legal, vet</w:t>
            </w:r>
          </w:p>
        </w:tc>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All deductible operating expenses.</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De minimis benefits</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Rice ₱2K/mo, medical ₱10K/yr, clothing ₱6K/yr per employee — exempt from withholding and deductible to business.</w:t>
            </w:r>
          </w:p>
        </w:tc>
      </w:tr>
    </w:tbl>
    <w:p>
      <w:pPr>
        <w:spacing w:before="80" w:after="80"/>
      </w:pPr>
      <w:r>
        <w:t xml:space="preserve"/>
      </w:r>
    </w:p>
    <w:p>
      <w:pPr>
        <w:pStyle w:val="Heading2"/>
        <w:spacing w:before="280" w:after="100"/>
      </w:pPr>
      <w:r>
        <w:rPr>
          <w:rFonts w:ascii="Arial" w:cs="Arial" w:eastAsia="Arial" w:hAnsi="Arial"/>
          <w:b/>
          <w:bCs/>
          <w:color w:val="4A7C59"/>
          <w:sz w:val="26"/>
          <w:szCs w:val="26"/>
        </w:rPr>
        <w:t xml:space="preserve">1.4 FBT — Manager's Residence</w:t>
      </w:r>
    </w:p>
    <w:p>
      <w:pPr>
        <w:spacing w:before="60" w:after="60"/>
      </w:pPr>
      <w:r>
        <w:rPr>
          <w:rFonts w:ascii="Arial" w:cs="Arial" w:eastAsia="Arial" w:hAnsi="Arial"/>
          <w:b w:val="false"/>
          <w:bCs w:val="false"/>
          <w:color w:val="1A1A1A"/>
          <w:sz w:val="20"/>
          <w:szCs w:val="20"/>
        </w:rPr>
        <w:t xml:space="preserve">When the company provides housing to an employee or officer, the BIR taxes it as a benefit at 35% applied to the grossed-up rental value (rental ÷ 0.65 × 35%). The employer pays this, not the individual.</w:t>
      </w:r>
    </w:p>
    <w:p>
      <w:pPr>
        <w:spacing w:before="60" w:after="60"/>
      </w:pPr>
      <w:r>
        <w:rPr>
          <w:rFonts w:ascii="Arial" w:cs="Arial" w:eastAsia="Arial" w:hAnsi="Arial"/>
          <w:b w:val="false"/>
          <w:bCs w:val="false"/>
          <w:color w:val="1A1A1A"/>
          <w:sz w:val="20"/>
          <w:szCs w:val="20"/>
        </w:rPr>
        <w:t xml:space="preserve">On an estimated ₱25,000/month rental value: FBT = approximately ₱161,500/year.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842A" w:sz="4"/>
              <w:left w:val="single" w:color="C8842A" w:sz="12"/>
              <w:bottom w:val="single" w:color="C8842A" w:sz="4"/>
              <w:right w:val="single" w:color="C8842A" w:sz="4"/>
            </w:tcBorders>
            <w:shd w:fill="F7F3EC" w:val="clear"/>
            <w:tcMar>
              <w:top w:type="dxa" w:w="120"/>
              <w:left w:type="dxa" w:w="180"/>
              <w:bottom w:type="dxa" w:w="120"/>
              <w:right w:type="dxa" w:w="120"/>
            </w:tcMar>
          </w:tcPr>
          <w:p>
            <w:pPr>
              <w:spacing w:before="0" w:after="0"/>
            </w:pPr>
            <w:r>
              <w:rPr>
                <w:rFonts w:ascii="Arial" w:cs="Arial" w:eastAsia="Arial" w:hAnsi="Arial"/>
                <w:color w:val="1A1A1A"/>
                <w:sz w:val="19"/>
                <w:szCs w:val="19"/>
              </w:rPr>
              <w:t xml:space="preserve">FBT costs ~₱162K/year. But the company owns a ₱2.5M+ asset on its balance sheet, depreciates it over 20 years, and claims all running costs. Versus paying rent from after-tax personal income with no asset and no deduction — the FBT model wins clearly.</w:t>
            </w:r>
          </w:p>
        </w:tc>
      </w:tr>
    </w:tbl>
    <w:p>
      <w:pPr>
        <w:spacing w:before="80" w:after="80"/>
      </w:pPr>
      <w:r>
        <w:t xml:space="preserve"/>
      </w:r>
    </w:p>
    <w:p>
      <w:pPr>
        <w:pStyle w:val="Heading2"/>
        <w:spacing w:before="280" w:after="100"/>
      </w:pPr>
      <w:r>
        <w:rPr>
          <w:rFonts w:ascii="Arial" w:cs="Arial" w:eastAsia="Arial" w:hAnsi="Arial"/>
          <w:b/>
          <w:bCs/>
          <w:color w:val="4A7C59"/>
          <w:sz w:val="26"/>
          <w:szCs w:val="26"/>
        </w:rPr>
        <w:t xml:space="preserve">1.5 VAT Strategy</w:t>
      </w:r>
    </w:p>
    <w:p>
      <w:pPr>
        <w:spacing w:before="60" w:after="60"/>
      </w:pPr>
      <w:r>
        <w:rPr>
          <w:rFonts w:ascii="Arial" w:cs="Arial" w:eastAsia="Arial" w:hAnsi="Arial"/>
          <w:b w:val="false"/>
          <w:bCs w:val="false"/>
          <w:color w:val="1A1A1A"/>
          <w:sz w:val="20"/>
          <w:szCs w:val="20"/>
        </w:rPr>
        <w:t xml:space="preserve">Below ₱3M gross receipts: elect 8% flat income tax on gross sales. Simpler, lower administrative burden, lower early-stage cost.</w:t>
      </w:r>
    </w:p>
    <w:p>
      <w:pPr>
        <w:spacing w:before="60" w:after="60"/>
      </w:pPr>
      <w:r>
        <w:rPr>
          <w:rFonts w:ascii="Arial" w:cs="Arial" w:eastAsia="Arial" w:hAnsi="Arial"/>
          <w:b w:val="false"/>
          <w:bCs w:val="false"/>
          <w:color w:val="1A1A1A"/>
          <w:sz w:val="20"/>
          <w:szCs w:val="20"/>
        </w:rPr>
        <w:t xml:space="preserve">Above ₱3M: VAT registered at 12%. Charge 12% on sales. Claim input VAT on all purchases. The two-way delivery network generates input VAT credits in both directions — outbound product and inbound raw materials both carry credits.</w:t>
      </w:r>
    </w:p>
    <w:p>
      <w:pPr>
        <w:spacing w:before="60" w:after="60"/>
      </w:pPr>
      <w:r>
        <w:rPr>
          <w:rFonts w:ascii="Arial" w:cs="Arial" w:eastAsia="Arial" w:hAnsi="Arial"/>
          <w:b w:val="false"/>
          <w:bCs w:val="false"/>
          <w:color w:val="1A1A1A"/>
          <w:sz w:val="20"/>
          <w:szCs w:val="20"/>
        </w:rPr>
        <w:t xml:space="preserve">Raw agricultural produce sold in original state is VAT-exempt. Once processed — butchered, cooked, packaged — VAT applies. The POS item code Stock Type field handles this split automatically.</w:t>
      </w:r>
    </w:p>
    <w:p>
      <w:pPr>
        <w:spacing w:before="80" w:after="80"/>
      </w:pPr>
      <w:r>
        <w:t xml:space="preserve"/>
      </w:r>
    </w:p>
    <w:p>
      <w:pPr>
        <w:pStyle w:val="Heading2"/>
        <w:spacing w:before="280" w:after="100"/>
      </w:pPr>
      <w:r>
        <w:rPr>
          <w:rFonts w:ascii="Arial" w:cs="Arial" w:eastAsia="Arial" w:hAnsi="Arial"/>
          <w:b/>
          <w:bCs/>
          <w:color w:val="4A7C59"/>
          <w:sz w:val="26"/>
          <w:szCs w:val="26"/>
        </w:rPr>
        <w:t xml:space="preserve">1.6 BMBE and BOI Incentives</w:t>
      </w:r>
    </w:p>
    <w:p>
      <w:pPr>
        <w:spacing w:before="60" w:after="60"/>
      </w:pPr>
      <w:r>
        <w:rPr>
          <w:rFonts w:ascii="Arial" w:cs="Arial" w:eastAsia="Arial" w:hAnsi="Arial"/>
          <w:b w:val="false"/>
          <w:bCs w:val="false"/>
          <w:color w:val="1A1A1A"/>
          <w:sz w:val="20"/>
          <w:szCs w:val="20"/>
        </w:rPr>
        <w:t xml:space="preserve">BMBE: total assets under ₱3M excluding land = income tax exempt entirely. Consider ring-fencing agricultural spokes into a separate entity that qualifies.</w:t>
      </w:r>
    </w:p>
    <w:p>
      <w:pPr>
        <w:spacing w:before="60" w:after="60"/>
      </w:pPr>
      <w:r>
        <w:rPr>
          <w:rFonts w:ascii="Arial" w:cs="Arial" w:eastAsia="Arial" w:hAnsi="Arial"/>
          <w:b w:val="false"/>
          <w:bCs w:val="false"/>
          <w:color w:val="1A1A1A"/>
          <w:sz w:val="20"/>
          <w:szCs w:val="20"/>
        </w:rPr>
        <w:t xml:space="preserve">BOI under the CREATE Act: Income Tax Holiday 4–7 years (zero CIT during highest capital investment years). Plus duty-free capital equipment importation, enhanced deductions after ITH, and VAT zero-rating on local purchases. Get CPA to assess eligibility before trading starts.</w:t>
      </w:r>
    </w:p>
    <w:p>
      <w:pPr>
        <w:spacing w:before="80" w:after="80"/>
      </w:pPr>
      <w:r>
        <w:t xml:space="preserve"/>
      </w:r>
    </w:p>
    <w:p>
      <w:pPr>
        <w:pStyle w:val="Heading2"/>
        <w:spacing w:before="280" w:after="100"/>
      </w:pPr>
      <w:r>
        <w:rPr>
          <w:rFonts w:ascii="Arial" w:cs="Arial" w:eastAsia="Arial" w:hAnsi="Arial"/>
          <w:b/>
          <w:bCs/>
          <w:color w:val="4A7C59"/>
          <w:sz w:val="26"/>
          <w:szCs w:val="26"/>
        </w:rPr>
        <w:t xml:space="preserve">1.7 Contributions — How They Actually Work</w:t>
      </w:r>
    </w:p>
    <w:p>
      <w:pPr>
        <w:spacing w:before="60" w:after="60"/>
      </w:pPr>
      <w:r>
        <w:rPr>
          <w:rFonts w:ascii="Arial" w:cs="Arial" w:eastAsia="Arial" w:hAnsi="Arial"/>
          <w:b w:val="false"/>
          <w:bCs w:val="false"/>
          <w:color w:val="1A1A1A"/>
          <w:sz w:val="20"/>
          <w:szCs w:val="20"/>
        </w:rPr>
        <w:t xml:space="preserve">Employer share of SSS, PhilHealth, and Pag-IBIG is paid monthly. Not claimed back as a refund — claimed as a deduction that reduces taxable income. At 20% CIT, ₱1.06M in contributions across all staff saves ₱212K in tax. Net real cost is ₱848K/year for full social coverage.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7C59" w:sz="4"/>
              <w:left w:val="single" w:color="4A7C59" w:sz="12"/>
              <w:bottom w:val="single" w:color="4A7C59" w:sz="4"/>
              <w:right w:val="single" w:color="4A7C59" w:sz="4"/>
            </w:tcBorders>
            <w:shd w:fill="F7F3EC" w:val="clear"/>
            <w:tcMar>
              <w:top w:type="dxa" w:w="120"/>
              <w:left w:type="dxa" w:w="180"/>
              <w:bottom w:type="dxa" w:w="120"/>
              <w:right w:type="dxa" w:w="120"/>
            </w:tcMar>
          </w:tcPr>
          <w:p>
            <w:pPr>
              <w:spacing w:before="0" w:after="0"/>
            </w:pPr>
            <w:r>
              <w:rPr>
                <w:rFonts w:ascii="Arial" w:cs="Arial" w:eastAsia="Arial" w:hAnsi="Arial"/>
                <w:color w:val="1A1A1A"/>
                <w:sz w:val="19"/>
                <w:szCs w:val="19"/>
              </w:rPr>
              <w:t xml:space="preserve">Estimated real cash tax cost at full operations: CIT ₱470K + FBT ₱162K + LBT ₱50K + RPT ₱30K = approximately ₱712K/year on ₱55M+ gross revenue. Effective rate on gross approximately 1.3%. You pay tax — you just pay it on a much smaller base because the deductions are doing exactly what they are designed to do.</w:t>
            </w:r>
          </w:p>
        </w:tc>
      </w:tr>
    </w:tbl>
    <w:p>
      <w:pPr>
        <w:spacing w:before="80" w:after="80"/>
      </w:pPr>
      <w:r>
        <w:t xml:space="preserve"/>
      </w:r>
    </w:p>
    <w:p>
      <w:r>
        <w:br/>
      </w:r>
    </w:p>
    <w:p>
      <w:pPr>
        <w:pStyle w:val="Heading1"/>
        <w:spacing w:before="360" w:after="120"/>
      </w:pPr>
      <w:r>
        <w:rPr>
          <w:rFonts w:ascii="Arial" w:cs="Arial" w:eastAsia="Arial" w:hAnsi="Arial"/>
          <w:b/>
          <w:bCs/>
          <w:color w:val="2E5238"/>
          <w:sz w:val="32"/>
          <w:szCs w:val="32"/>
        </w:rPr>
        <w:t xml:space="preserve">2. Corridor Market — The Real Scale</w:t>
      </w:r>
    </w:p>
    <w:p>
      <w:pPr>
        <w:spacing w:before="80" w:after="80"/>
      </w:pPr>
      <w:r>
        <w:t xml:space="preserve"/>
      </w:r>
    </w:p>
    <w:p>
      <w:pPr>
        <w:pStyle w:val="Heading2"/>
        <w:spacing w:before="280" w:after="100"/>
      </w:pPr>
      <w:r>
        <w:rPr>
          <w:rFonts w:ascii="Arial" w:cs="Arial" w:eastAsia="Arial" w:hAnsi="Arial"/>
          <w:b/>
          <w:bCs/>
          <w:color w:val="4A7C59"/>
          <w:sz w:val="26"/>
          <w:szCs w:val="26"/>
        </w:rPr>
        <w:t xml:space="preserve">2.1 Why Previous Dashboards Were Wrong</w:t>
      </w:r>
    </w:p>
    <w:p>
      <w:pPr>
        <w:spacing w:before="60" w:after="60"/>
      </w:pPr>
      <w:r>
        <w:rPr>
          <w:rFonts w:ascii="Arial" w:cs="Arial" w:eastAsia="Arial" w:hAnsi="Arial"/>
          <w:b w:val="false"/>
          <w:bCs w:val="false"/>
          <w:color w:val="1A1A1A"/>
          <w:sz w:val="20"/>
          <w:szCs w:val="20"/>
        </w:rPr>
        <w:t xml:space="preserve">P&amp;L versions 1 through 3 modelled ₱17M gross revenue because they treated the enterprise as a local farm with a café. That was the wrong frame. The correct frame is a regional food system — the Bicol equivalent of Thomas Foods or Bidvest — built on a circular logistics circuit, vertically integrated production, and zero organised competition in a 500,000-person market.</w:t>
      </w:r>
    </w:p>
    <w:p>
      <w:pPr>
        <w:spacing w:before="80" w:after="80"/>
      </w:pPr>
      <w:r>
        <w:t xml:space="preserve"/>
      </w:r>
    </w:p>
    <w:p>
      <w:pPr>
        <w:pStyle w:val="Heading2"/>
        <w:spacing w:before="280" w:after="100"/>
      </w:pPr>
      <w:r>
        <w:rPr>
          <w:rFonts w:ascii="Arial" w:cs="Arial" w:eastAsia="Arial" w:hAnsi="Arial"/>
          <w:b/>
          <w:bCs/>
          <w:color w:val="4A7C59"/>
          <w:sz w:val="26"/>
          <w:szCs w:val="26"/>
        </w:rPr>
        <w:t xml:space="preserve">2.2 The Corridor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2880"/>
        <w:gridCol w:w="3360"/>
      </w:tblGrid>
      <w:tr>
        <w:tc>
          <w:tcPr>
            <w:tcW w:type="dxa" w:w="3120"/>
            <w:tcBorders>
              <w:top w:val="single" w:color="CCCCCC" w:sz="1"/>
              <w:left w:val="single" w:color="CCCCCC" w:sz="1"/>
              <w:bottom w:val="single" w:color="CCCCCC" w:sz="1"/>
              <w:right w:val="single" w:color="CCCCCC" w:sz="1"/>
            </w:tcBorders>
            <w:shd w:fill="4A7C59" w:val="clear"/>
            <w:tcMar>
              <w:top w:type="dxa" w:w="80"/>
              <w:left w:type="dxa" w:w="120"/>
              <w:bottom w:type="dxa" w:w="80"/>
              <w:right w:type="dxa" w:w="120"/>
            </w:tcMar>
          </w:tcPr>
          <w:p>
            <w:r>
              <w:rPr>
                <w:rFonts w:ascii="Arial" w:cs="Arial" w:eastAsia="Arial" w:hAnsi="Arial"/>
                <w:b/>
                <w:bCs/>
                <w:color w:val="FFFFFF"/>
                <w:sz w:val="19"/>
                <w:szCs w:val="19"/>
              </w:rPr>
              <w:t xml:space="preserve">Town</w:t>
            </w:r>
          </w:p>
        </w:tc>
        <w:tc>
          <w:tcPr>
            <w:tcW w:type="dxa" w:w="2880"/>
            <w:tcBorders>
              <w:top w:val="single" w:color="CCCCCC" w:sz="1"/>
              <w:left w:val="single" w:color="CCCCCC" w:sz="1"/>
              <w:bottom w:val="single" w:color="CCCCCC" w:sz="1"/>
              <w:right w:val="single" w:color="CCCCCC" w:sz="1"/>
            </w:tcBorders>
            <w:shd w:fill="4A7C59" w:val="clear"/>
            <w:tcMar>
              <w:top w:type="dxa" w:w="80"/>
              <w:left w:type="dxa" w:w="120"/>
              <w:bottom w:type="dxa" w:w="80"/>
              <w:right w:type="dxa" w:w="120"/>
            </w:tcMar>
          </w:tcPr>
          <w:p>
            <w:r>
              <w:rPr>
                <w:rFonts w:ascii="Arial" w:cs="Arial" w:eastAsia="Arial" w:hAnsi="Arial"/>
                <w:b/>
                <w:bCs/>
                <w:color w:val="FFFFFF"/>
                <w:sz w:val="19"/>
                <w:szCs w:val="19"/>
              </w:rPr>
              <w:t xml:space="preserve">Population</w:t>
            </w:r>
          </w:p>
        </w:tc>
        <w:tc>
          <w:tcPr>
            <w:tcW w:type="dxa" w:w="3360"/>
            <w:tcBorders>
              <w:top w:val="single" w:color="CCCCCC" w:sz="1"/>
              <w:left w:val="single" w:color="CCCCCC" w:sz="1"/>
              <w:bottom w:val="single" w:color="CCCCCC" w:sz="1"/>
              <w:right w:val="single" w:color="CCCCCC" w:sz="1"/>
            </w:tcBorders>
            <w:shd w:fill="4A7C59" w:val="clear"/>
            <w:tcMar>
              <w:top w:type="dxa" w:w="80"/>
              <w:left w:type="dxa" w:w="120"/>
              <w:bottom w:type="dxa" w:w="80"/>
              <w:right w:type="dxa" w:w="120"/>
            </w:tcMar>
          </w:tcPr>
          <w:p>
            <w:r>
              <w:rPr>
                <w:rFonts w:ascii="Arial" w:cs="Arial" w:eastAsia="Arial" w:hAnsi="Arial"/>
                <w:b/>
                <w:bCs/>
                <w:color w:val="FFFFFF"/>
                <w:sz w:val="19"/>
                <w:szCs w:val="19"/>
              </w:rPr>
              <w:t xml:space="preserve">Primary Economy</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Ragay</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58,843</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Agriculture, fishing, prawns</w:t>
            </w:r>
          </w:p>
        </w:tc>
      </w:tr>
      <w:tr>
        <w:tc>
          <w:tcPr>
            <w:tcW w:type="dxa" w:w="31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Del Gallego</w:t>
            </w:r>
          </w:p>
        </w:tc>
        <w:tc>
          <w:tcPr>
            <w:tcW w:type="dxa" w:w="28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25,000+</w:t>
            </w:r>
          </w:p>
        </w:tc>
        <w:tc>
          <w:tcPr>
            <w:tcW w:type="dxa" w:w="3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Agriculture, coconut</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Lupi</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33,897</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Coconut plantations, lumber</w:t>
            </w:r>
          </w:p>
        </w:tc>
      </w:tr>
      <w:tr>
        <w:tc>
          <w:tcPr>
            <w:tcW w:type="dxa" w:w="31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Sipocot</w:t>
            </w:r>
          </w:p>
        </w:tc>
        <w:tc>
          <w:tcPr>
            <w:tcW w:type="dxa" w:w="28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68,169</w:t>
            </w:r>
          </w:p>
        </w:tc>
        <w:tc>
          <w:tcPr>
            <w:tcW w:type="dxa" w:w="3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Regional trade hub, coconut, rice</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Santa Elena</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42,585</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Agriculture, coconut, fishing</w:t>
            </w:r>
          </w:p>
        </w:tc>
      </w:tr>
      <w:tr>
        <w:tc>
          <w:tcPr>
            <w:tcW w:type="dxa" w:w="31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Capalonga</w:t>
            </w:r>
          </w:p>
        </w:tc>
        <w:tc>
          <w:tcPr>
            <w:tcW w:type="dxa" w:w="28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37,000+</w:t>
            </w:r>
          </w:p>
        </w:tc>
        <w:tc>
          <w:tcPr>
            <w:tcW w:type="dxa" w:w="3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Agriculture, pilgrimage tourism</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Labo</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108,319</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Most farmland in Cam Norte province</w:t>
            </w:r>
          </w:p>
        </w:tc>
      </w:tr>
      <w:tr>
        <w:tc>
          <w:tcPr>
            <w:tcW w:type="dxa" w:w="31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Daet</w:t>
            </w:r>
          </w:p>
        </w:tc>
        <w:tc>
          <w:tcPr>
            <w:tcW w:type="dxa" w:w="28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106,465</w:t>
            </w:r>
          </w:p>
        </w:tc>
        <w:tc>
          <w:tcPr>
            <w:tcW w:type="dxa" w:w="3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Provincial capital, commercial</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TOTAL</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350,000–500,000</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Zero organised local protein supply</w:t>
            </w:r>
          </w:p>
        </w:tc>
      </w:tr>
    </w:tbl>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7C59" w:sz="4"/>
              <w:left w:val="single" w:color="4A7C59" w:sz="12"/>
              <w:bottom w:val="single" w:color="4A7C59" w:sz="4"/>
              <w:right w:val="single" w:color="4A7C59" w:sz="4"/>
            </w:tcBorders>
            <w:shd w:fill="F7F3EC" w:val="clear"/>
            <w:tcMar>
              <w:top w:type="dxa" w:w="120"/>
              <w:left w:type="dxa" w:w="180"/>
              <w:bottom w:type="dxa" w:w="120"/>
              <w:right w:type="dxa" w:w="120"/>
            </w:tcMar>
          </w:tcPr>
          <w:p>
            <w:pPr>
              <w:spacing w:before="0" w:after="0"/>
            </w:pPr>
            <w:r>
              <w:rPr>
                <w:rFonts w:ascii="Arial" w:cs="Arial" w:eastAsia="Arial" w:hAnsi="Arial"/>
                <w:color w:val="1A1A1A"/>
                <w:sz w:val="19"/>
                <w:szCs w:val="19"/>
              </w:rPr>
              <w:t xml:space="preserve">Every shop, carinderia, mini mart, school, hospital, hotel and restaurant on this corridor is currently buying protein through middlemen from Naga or Manila. Days old on arrival. Supply fails in every typhoon season. Three or four middleman margins on the price. Bambis pulls up with same-day product, cold chain intact, direct from the farm, at a lower price because the middlemen do not exist.</w:t>
            </w:r>
          </w:p>
        </w:tc>
      </w:tr>
    </w:tbl>
    <w:p>
      <w:pPr>
        <w:spacing w:before="80" w:after="80"/>
      </w:pPr>
      <w:r>
        <w:t xml:space="preserve"/>
      </w:r>
    </w:p>
    <w:p>
      <w:pPr>
        <w:pStyle w:val="Heading2"/>
        <w:spacing w:before="280" w:after="100"/>
      </w:pPr>
      <w:r>
        <w:rPr>
          <w:rFonts w:ascii="Arial" w:cs="Arial" w:eastAsia="Arial" w:hAnsi="Arial"/>
          <w:b/>
          <w:bCs/>
          <w:color w:val="4A7C59"/>
          <w:sz w:val="26"/>
          <w:szCs w:val="26"/>
        </w:rPr>
        <w:t xml:space="preserve">2.3 30% Market Capture</w:t>
      </w:r>
    </w:p>
    <w:p>
      <w:pPr>
        <w:spacing w:before="60" w:after="60"/>
      </w:pPr>
      <w:r>
        <w:rPr>
          <w:rFonts w:ascii="Arial" w:cs="Arial" w:eastAsia="Arial" w:hAnsi="Arial"/>
          <w:b w:val="false"/>
          <w:bCs w:val="false"/>
          <w:color w:val="1A1A1A"/>
          <w:sz w:val="20"/>
          <w:szCs w:val="20"/>
        </w:rPr>
        <w:t xml:space="preserve">Total Bambis addressable market across 500,000 people: approximately ₱2.19 billion/year in protein, produce, feeds, and foodservice combined.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2880"/>
        <w:gridCol w:w="3360"/>
      </w:tblGrid>
      <w:tr>
        <w:tc>
          <w:tcPr>
            <w:tcW w:type="dxa" w:w="3120"/>
            <w:tcBorders>
              <w:top w:val="single" w:color="CCCCCC" w:sz="1"/>
              <w:left w:val="single" w:color="CCCCCC" w:sz="1"/>
              <w:bottom w:val="single" w:color="CCCCCC" w:sz="1"/>
              <w:right w:val="single" w:color="CCCCCC" w:sz="1"/>
            </w:tcBorders>
            <w:shd w:fill="4A7C59" w:val="clear"/>
            <w:tcMar>
              <w:top w:type="dxa" w:w="80"/>
              <w:left w:type="dxa" w:w="120"/>
              <w:bottom w:type="dxa" w:w="80"/>
              <w:right w:type="dxa" w:w="120"/>
            </w:tcMar>
          </w:tcPr>
          <w:p>
            <w:r>
              <w:rPr>
                <w:rFonts w:ascii="Arial" w:cs="Arial" w:eastAsia="Arial" w:hAnsi="Arial"/>
                <w:b/>
                <w:bCs/>
                <w:color w:val="FFFFFF"/>
                <w:sz w:val="19"/>
                <w:szCs w:val="19"/>
              </w:rPr>
              <w:t xml:space="preserve">Year</w:t>
            </w:r>
          </w:p>
        </w:tc>
        <w:tc>
          <w:tcPr>
            <w:tcW w:type="dxa" w:w="2880"/>
            <w:tcBorders>
              <w:top w:val="single" w:color="CCCCCC" w:sz="1"/>
              <w:left w:val="single" w:color="CCCCCC" w:sz="1"/>
              <w:bottom w:val="single" w:color="CCCCCC" w:sz="1"/>
              <w:right w:val="single" w:color="CCCCCC" w:sz="1"/>
            </w:tcBorders>
            <w:shd w:fill="4A7C59" w:val="clear"/>
            <w:tcMar>
              <w:top w:type="dxa" w:w="80"/>
              <w:left w:type="dxa" w:w="120"/>
              <w:bottom w:type="dxa" w:w="80"/>
              <w:right w:type="dxa" w:w="120"/>
            </w:tcMar>
          </w:tcPr>
          <w:p>
            <w:r>
              <w:rPr>
                <w:rFonts w:ascii="Arial" w:cs="Arial" w:eastAsia="Arial" w:hAnsi="Arial"/>
                <w:b/>
                <w:bCs/>
                <w:color w:val="FFFFFF"/>
                <w:sz w:val="19"/>
                <w:szCs w:val="19"/>
              </w:rPr>
              <w:t xml:space="preserve">Capture</w:t>
            </w:r>
          </w:p>
        </w:tc>
        <w:tc>
          <w:tcPr>
            <w:tcW w:type="dxa" w:w="3360"/>
            <w:tcBorders>
              <w:top w:val="single" w:color="CCCCCC" w:sz="1"/>
              <w:left w:val="single" w:color="CCCCCC" w:sz="1"/>
              <w:bottom w:val="single" w:color="CCCCCC" w:sz="1"/>
              <w:right w:val="single" w:color="CCCCCC" w:sz="1"/>
            </w:tcBorders>
            <w:shd w:fill="4A7C59" w:val="clear"/>
            <w:tcMar>
              <w:top w:type="dxa" w:w="80"/>
              <w:left w:type="dxa" w:w="120"/>
              <w:bottom w:type="dxa" w:w="80"/>
              <w:right w:type="dxa" w:w="120"/>
            </w:tcMar>
          </w:tcPr>
          <w:p>
            <w:r>
              <w:rPr>
                <w:rFonts w:ascii="Arial" w:cs="Arial" w:eastAsia="Arial" w:hAnsi="Arial"/>
                <w:b/>
                <w:bCs/>
                <w:color w:val="FFFFFF"/>
                <w:sz w:val="19"/>
                <w:szCs w:val="19"/>
              </w:rPr>
              <w:t xml:space="preserve">Revenue Target</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Year 1</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5%</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~₱50–55M (route building)</w:t>
            </w:r>
          </w:p>
        </w:tc>
      </w:tr>
      <w:tr>
        <w:tc>
          <w:tcPr>
            <w:tcW w:type="dxa" w:w="31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Year 2</w:t>
            </w:r>
          </w:p>
        </w:tc>
        <w:tc>
          <w:tcPr>
            <w:tcW w:type="dxa" w:w="28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10%</w:t>
            </w:r>
          </w:p>
        </w:tc>
        <w:tc>
          <w:tcPr>
            <w:tcW w:type="dxa" w:w="3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~₱219M</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Year 3</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18%</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~₱394M (feed brand established)</w:t>
            </w:r>
          </w:p>
        </w:tc>
      </w:tr>
      <w:tr>
        <w:tc>
          <w:tcPr>
            <w:tcW w:type="dxa" w:w="31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Year 4</w:t>
            </w:r>
          </w:p>
        </w:tc>
        <w:tc>
          <w:tcPr>
            <w:tcW w:type="dxa" w:w="28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25%</w:t>
            </w:r>
          </w:p>
        </w:tc>
        <w:tc>
          <w:tcPr>
            <w:tcW w:type="dxa" w:w="3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~₱548M (own formulas live)</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Year 5+</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30%</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~₱657M (Bambis IS the corridor)</w:t>
            </w:r>
          </w:p>
        </w:tc>
      </w:tr>
    </w:tbl>
    <w:p>
      <w:pPr>
        <w:spacing w:before="80" w:after="80"/>
      </w:pPr>
      <w:r>
        <w:t xml:space="preserve"/>
      </w:r>
    </w:p>
    <w:p>
      <w:pPr>
        <w:spacing w:before="60" w:after="60"/>
      </w:pPr>
      <w:r>
        <w:rPr>
          <w:rFonts w:ascii="Arial" w:cs="Arial" w:eastAsia="Arial" w:hAnsi="Arial"/>
          <w:b w:val="false"/>
          <w:bCs w:val="false"/>
          <w:color w:val="1A1A1A"/>
          <w:sz w:val="20"/>
          <w:szCs w:val="20"/>
        </w:rPr>
        <w:t xml:space="preserve">30% is conservative for an uncontested first mover with daily circuit coverage. In a market where current organised local supply is effectively zero, 30% is the floor.</w:t>
      </w:r>
    </w:p>
    <w:p>
      <w:pPr>
        <w:spacing w:before="80" w:after="80"/>
      </w:pPr>
      <w:r>
        <w:t xml:space="preserve"/>
      </w:r>
    </w:p>
    <w:p>
      <w:r>
        <w:br/>
      </w:r>
    </w:p>
    <w:p>
      <w:pPr>
        <w:pStyle w:val="Heading1"/>
        <w:spacing w:before="360" w:after="120"/>
      </w:pPr>
      <w:r>
        <w:rPr>
          <w:rFonts w:ascii="Arial" w:cs="Arial" w:eastAsia="Arial" w:hAnsi="Arial"/>
          <w:b/>
          <w:bCs/>
          <w:color w:val="2E5238"/>
          <w:sz w:val="32"/>
          <w:szCs w:val="32"/>
        </w:rPr>
        <w:t xml:space="preserve">3. Operational Decisions — This Session</w:t>
      </w:r>
    </w:p>
    <w:p>
      <w:pPr>
        <w:spacing w:before="80" w:after="80"/>
      </w:pPr>
      <w:r>
        <w:t xml:space="preserve"/>
      </w:r>
    </w:p>
    <w:p>
      <w:pPr>
        <w:pStyle w:val="Heading2"/>
        <w:spacing w:before="280" w:after="100"/>
      </w:pPr>
      <w:r>
        <w:rPr>
          <w:rFonts w:ascii="Arial" w:cs="Arial" w:eastAsia="Arial" w:hAnsi="Arial"/>
          <w:b/>
          <w:bCs/>
          <w:color w:val="4A7C59"/>
          <w:sz w:val="26"/>
          <w:szCs w:val="26"/>
        </w:rPr>
        <w:t xml:space="preserve">3.1 Deliveries — Not a Revenue Spoke</w:t>
      </w:r>
    </w:p>
    <w:p>
      <w:pPr>
        <w:spacing w:before="60" w:after="60"/>
      </w:pPr>
      <w:r>
        <w:rPr>
          <w:rFonts w:ascii="Arial" w:cs="Arial" w:eastAsia="Arial" w:hAnsi="Arial"/>
          <w:b w:val="false"/>
          <w:bCs w:val="false"/>
          <w:color w:val="1A1A1A"/>
          <w:sz w:val="20"/>
          <w:szCs w:val="20"/>
        </w:rPr>
        <w:t xml:space="preserve">Deliveries is the logistics infrastructure that enables every other spoke. It is not a standalone revenue line. The truck is the cost centre.</w:t>
      </w:r>
    </w:p>
    <w:p>
      <w:pPr>
        <w:pStyle w:val="ListParagraph"/>
        <w:numPr>
          <w:ilvl w:val="0"/>
          <w:numId w:val="2"/>
        </w:numPr>
        <w:spacing w:before="40" w:after="40"/>
      </w:pPr>
      <w:r>
        <w:rPr>
          <w:rFonts w:ascii="Arial" w:cs="Arial" w:eastAsia="Arial" w:hAnsi="Arial"/>
          <w:b w:val="false"/>
          <w:bCs w:val="false"/>
          <w:color w:val="1A1A1A"/>
          <w:sz w:val="20"/>
          <w:szCs w:val="20"/>
        </w:rPr>
        <w:t xml:space="preserve">Orders placed via the digital system or phone to Ragay HQ</w:t>
      </w:r>
    </w:p>
    <w:p>
      <w:pPr>
        <w:pStyle w:val="ListParagraph"/>
        <w:numPr>
          <w:ilvl w:val="0"/>
          <w:numId w:val="2"/>
        </w:numPr>
        <w:spacing w:before="40" w:after="40"/>
      </w:pPr>
      <w:r>
        <w:rPr>
          <w:rFonts w:ascii="Arial" w:cs="Arial" w:eastAsia="Arial" w:hAnsi="Arial"/>
          <w:b w:val="false"/>
          <w:bCs w:val="false"/>
          <w:color w:val="1A1A1A"/>
          <w:sz w:val="20"/>
          <w:szCs w:val="20"/>
        </w:rPr>
        <w:t xml:space="preserve">Packed at hub butcher kitchen or produce staging area</w:t>
      </w:r>
    </w:p>
    <w:p>
      <w:pPr>
        <w:pStyle w:val="ListParagraph"/>
        <w:numPr>
          <w:ilvl w:val="0"/>
          <w:numId w:val="2"/>
        </w:numPr>
        <w:spacing w:before="40" w:after="40"/>
      </w:pPr>
      <w:r>
        <w:rPr>
          <w:rFonts w:ascii="Arial" w:cs="Arial" w:eastAsia="Arial" w:hAnsi="Arial"/>
          <w:b w:val="false"/>
          <w:bCs w:val="false"/>
          <w:color w:val="1A1A1A"/>
          <w:sz w:val="20"/>
          <w:szCs w:val="20"/>
        </w:rPr>
        <w:t xml:space="preserve">Delivered to nearest satellite container for customer collection — no extra charge, already on the circuit</w:t>
      </w:r>
    </w:p>
    <w:p>
      <w:pPr>
        <w:pStyle w:val="ListParagraph"/>
        <w:numPr>
          <w:ilvl w:val="0"/>
          <w:numId w:val="2"/>
        </w:numPr>
        <w:spacing w:before="40" w:after="40"/>
      </w:pPr>
      <w:r>
        <w:rPr>
          <w:rFonts w:ascii="Arial" w:cs="Arial" w:eastAsia="Arial" w:hAnsi="Arial"/>
          <w:b w:val="false"/>
          <w:bCs w:val="false"/>
          <w:color w:val="1A1A1A"/>
          <w:sz w:val="20"/>
          <w:szCs w:val="20"/>
        </w:rPr>
        <w:t xml:space="preserve">Bulk orders delivered direct on the circuit run, absorbed into route cost</w:t>
      </w:r>
    </w:p>
    <w:p>
      <w:pPr>
        <w:pStyle w:val="ListParagraph"/>
        <w:numPr>
          <w:ilvl w:val="0"/>
          <w:numId w:val="2"/>
        </w:numPr>
        <w:spacing w:before="40" w:after="40"/>
      </w:pPr>
      <w:r>
        <w:rPr>
          <w:rFonts w:ascii="Arial" w:cs="Arial" w:eastAsia="Arial" w:hAnsi="Arial"/>
          <w:b w:val="false"/>
          <w:bCs w:val="false"/>
          <w:color w:val="1A1A1A"/>
          <w:sz w:val="20"/>
          <w:szCs w:val="20"/>
        </w:rPr>
        <w:t xml:space="preserve">On-site delivery for smaller off-route customers — additional fee applies</w:t>
      </w:r>
    </w:p>
    <w:p>
      <w:pPr>
        <w:spacing w:before="60" w:after="60"/>
      </w:pPr>
      <w:r>
        <w:rPr>
          <w:rFonts w:ascii="Arial" w:cs="Arial" w:eastAsia="Arial" w:hAnsi="Arial"/>
          <w:b w:val="false"/>
          <w:bCs w:val="false"/>
          <w:color w:val="1A1A1A"/>
          <w:sz w:val="20"/>
          <w:szCs w:val="20"/>
        </w:rPr>
        <w:t xml:space="preserve">No subscription boxes. That model does not work.</w:t>
      </w:r>
    </w:p>
    <w:p>
      <w:pPr>
        <w:spacing w:before="80" w:after="80"/>
      </w:pPr>
      <w:r>
        <w:t xml:space="preserve"/>
      </w:r>
    </w:p>
    <w:p>
      <w:pPr>
        <w:pStyle w:val="Heading2"/>
        <w:spacing w:before="280" w:after="100"/>
      </w:pPr>
      <w:r>
        <w:rPr>
          <w:rFonts w:ascii="Arial" w:cs="Arial" w:eastAsia="Arial" w:hAnsi="Arial"/>
          <w:b/>
          <w:bCs/>
          <w:color w:val="4A7C59"/>
          <w:sz w:val="26"/>
          <w:szCs w:val="26"/>
        </w:rPr>
        <w:t xml:space="preserve">3.2 Slaughter and Butcher Model</w:t>
      </w:r>
    </w:p>
    <w:p>
      <w:pPr>
        <w:spacing w:before="60" w:after="60"/>
      </w:pPr>
      <w:r>
        <w:rPr>
          <w:rFonts w:ascii="Arial" w:cs="Arial" w:eastAsia="Arial" w:hAnsi="Arial"/>
          <w:b w:val="false"/>
          <w:bCs w:val="false"/>
          <w:color w:val="1A1A1A"/>
          <w:sz w:val="20"/>
          <w:szCs w:val="20"/>
        </w:rPr>
        <w:t xml:space="preserve">Local licensed abattoir used for all slaughter. No Bambis kill floor. No kill floor CAPEX or compliance burden. Slaughter fee per head is a COGS line.</w:t>
      </w:r>
    </w:p>
    <w:p>
      <w:pPr>
        <w:spacing w:before="60" w:after="60"/>
      </w:pPr>
      <w:r>
        <w:rPr>
          <w:rFonts w:ascii="Arial" w:cs="Arial" w:eastAsia="Arial" w:hAnsi="Arial"/>
          <w:b w:val="false"/>
          <w:bCs w:val="false"/>
          <w:color w:val="1A1A1A"/>
          <w:sz w:val="20"/>
          <w:szCs w:val="20"/>
        </w:rPr>
        <w:t xml:space="preserve">Carcass returns to hub butcher kitchen at Ragay/F. Simeon. Broken down, portioned, vacuum sealed, refrigerated. Distributed north along the circuit to satellite containers. Containers sell pre-portioned product only — they do not butcher anything.</w:t>
      </w:r>
    </w:p>
    <w:p>
      <w:pPr>
        <w:spacing w:before="60" w:after="60"/>
      </w:pPr>
      <w:r>
        <w:rPr>
          <w:rFonts w:ascii="Arial" w:cs="Arial" w:eastAsia="Arial" w:hAnsi="Arial"/>
          <w:b w:val="false"/>
          <w:bCs w:val="false"/>
          <w:color w:val="1A1A1A"/>
          <w:sz w:val="20"/>
          <w:szCs w:val="20"/>
        </w:rPr>
        <w:t xml:space="preserve">There is no Daet butcher shop. That was an error in earlier dashboards. One butcher, one location, all product flows out from there.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7C59" w:sz="4"/>
              <w:left w:val="single" w:color="4A7C59" w:sz="12"/>
              <w:bottom w:val="single" w:color="4A7C59" w:sz="4"/>
              <w:right w:val="single" w:color="4A7C59" w:sz="4"/>
            </w:tcBorders>
            <w:shd w:fill="F7F3EC" w:val="clear"/>
            <w:tcMar>
              <w:top w:type="dxa" w:w="120"/>
              <w:left w:type="dxa" w:w="180"/>
              <w:bottom w:type="dxa" w:w="120"/>
              <w:right w:type="dxa" w:w="120"/>
            </w:tcMar>
          </w:tcPr>
          <w:p>
            <w:pPr>
              <w:spacing w:before="0" w:after="0"/>
            </w:pPr>
            <w:r>
              <w:rPr>
                <w:rFonts w:ascii="Arial" w:cs="Arial" w:eastAsia="Arial" w:hAnsi="Arial"/>
                <w:color w:val="1A1A1A"/>
                <w:sz w:val="19"/>
                <w:szCs w:val="19"/>
              </w:rPr>
              <w:t xml:space="preserve">Same model as Thomas Foods or Bidvest: break down carcass, portion, vac seal, cold chain distribute. The circuit truck loads cold product every morning and services every account on the route.</w:t>
            </w:r>
          </w:p>
        </w:tc>
      </w:tr>
    </w:tbl>
    <w:p>
      <w:pPr>
        <w:spacing w:before="80" w:after="80"/>
      </w:pPr>
      <w:r>
        <w:t xml:space="preserve"/>
      </w:r>
    </w:p>
    <w:p>
      <w:pPr>
        <w:pStyle w:val="Heading2"/>
        <w:spacing w:before="280" w:after="100"/>
      </w:pPr>
      <w:r>
        <w:rPr>
          <w:rFonts w:ascii="Arial" w:cs="Arial" w:eastAsia="Arial" w:hAnsi="Arial"/>
          <w:b/>
          <w:bCs/>
          <w:color w:val="4A7C59"/>
          <w:sz w:val="26"/>
          <w:szCs w:val="26"/>
        </w:rPr>
        <w:t xml:space="preserve">3.3 COGS Correction</w:t>
      </w:r>
    </w:p>
    <w:p>
      <w:pPr>
        <w:spacing w:before="60" w:after="60"/>
      </w:pPr>
      <w:r>
        <w:rPr>
          <w:rFonts w:ascii="Arial" w:cs="Arial" w:eastAsia="Arial" w:hAnsi="Arial"/>
          <w:b w:val="false"/>
          <w:bCs w:val="false"/>
          <w:color w:val="1A1A1A"/>
          <w:sz w:val="20"/>
          <w:szCs w:val="20"/>
        </w:rPr>
        <w:t xml:space="preserve">Previous dashboards used 35% COGS — standard hospitality assumption for a business buying all product in. Incorrect for this model.</w:t>
      </w:r>
    </w:p>
    <w:p>
      <w:pPr>
        <w:spacing w:before="60" w:after="60"/>
      </w:pPr>
      <w:r>
        <w:rPr>
          <w:rFonts w:ascii="Arial" w:cs="Arial" w:eastAsia="Arial" w:hAnsi="Arial"/>
          <w:b w:val="false"/>
          <w:bCs w:val="false"/>
          <w:color w:val="1A1A1A"/>
          <w:sz w:val="20"/>
          <w:szCs w:val="20"/>
        </w:rPr>
        <w:t xml:space="preserve">Correct blended COGS for the Bambis vertically integrated model: approximately 16%. The cost of a steak on the café plate is labour (already in wages), feed inputs (partially waste/inbound), and land. The cash outlay for the raw product is near zero on 70% of throughput.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4A7C59" w:val="clear"/>
            <w:tcMar>
              <w:top w:type="dxa" w:w="80"/>
              <w:left w:type="dxa" w:w="120"/>
              <w:bottom w:type="dxa" w:w="80"/>
              <w:right w:type="dxa" w:w="120"/>
            </w:tcMar>
          </w:tcPr>
          <w:p>
            <w:r>
              <w:rPr>
                <w:rFonts w:ascii="Arial" w:cs="Arial" w:eastAsia="Arial" w:hAnsi="Arial"/>
                <w:b/>
                <w:bCs/>
                <w:color w:val="FFFFFF"/>
                <w:sz w:val="19"/>
                <w:szCs w:val="19"/>
              </w:rPr>
              <w:t xml:space="preserve">Spoke</w:t>
            </w:r>
          </w:p>
        </w:tc>
        <w:tc>
          <w:tcPr>
            <w:tcW w:type="dxa" w:w="4680"/>
            <w:tcBorders>
              <w:top w:val="single" w:color="CCCCCC" w:sz="1"/>
              <w:left w:val="single" w:color="CCCCCC" w:sz="1"/>
              <w:bottom w:val="single" w:color="CCCCCC" w:sz="1"/>
              <w:right w:val="single" w:color="CCCCCC" w:sz="1"/>
            </w:tcBorders>
            <w:shd w:fill="4A7C59" w:val="clear"/>
            <w:tcMar>
              <w:top w:type="dxa" w:w="80"/>
              <w:left w:type="dxa" w:w="120"/>
              <w:bottom w:type="dxa" w:w="80"/>
              <w:right w:type="dxa" w:w="120"/>
            </w:tcMar>
          </w:tcPr>
          <w:p>
            <w:r>
              <w:rPr>
                <w:rFonts w:ascii="Arial" w:cs="Arial" w:eastAsia="Arial" w:hAnsi="Arial"/>
                <w:b/>
                <w:bCs/>
                <w:color w:val="FFFFFF"/>
                <w:sz w:val="19"/>
                <w:szCs w:val="19"/>
              </w:rPr>
              <w:t xml:space="preserve">Blended COGS %</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Alejandro's Café</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~14% (70% own-raised product)</w:t>
            </w:r>
          </w:p>
        </w:tc>
      </w:tr>
      <w:tr>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19"/>
                <w:szCs w:val="19"/>
              </w:rPr>
              <w:t xml:space="preserve">Butcher &amp; cold chain</w:t>
            </w:r>
          </w:p>
        </w:tc>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~13% (own livestock dominant)</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Poultry &amp; livestock farm gate</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~12% (feed cost only)</w:t>
            </w:r>
          </w:p>
        </w:tc>
      </w:tr>
      <w:tr>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19"/>
                <w:szCs w:val="19"/>
              </w:rPr>
              <w:t xml:space="preserve">Marine &amp; seafood</w:t>
            </w:r>
          </w:p>
        </w:tc>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~15% (buy and cold chain distribute)</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Feeds &amp; supply</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~25% (50/50 waste vs purchased inputs)</w:t>
            </w:r>
          </w:p>
        </w:tc>
      </w:tr>
      <w:tr>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19"/>
                <w:szCs w:val="19"/>
              </w:rPr>
              <w:t xml:space="preserve">Market / sari-sari</w:t>
            </w:r>
          </w:p>
        </w:tc>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~22% (more bought-in retail lines)</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Nursery &amp; raw produce</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~8% (seeds and soil inputs only)</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BLENDED ENTERPRISE</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~16%</w:t>
            </w:r>
          </w:p>
        </w:tc>
      </w:tr>
    </w:tbl>
    <w:p>
      <w:pPr>
        <w:spacing w:before="80" w:after="80"/>
      </w:pPr>
      <w:r>
        <w:t xml:space="preserve"/>
      </w:r>
    </w:p>
    <w:p>
      <w:pPr>
        <w:pStyle w:val="Heading2"/>
        <w:spacing w:before="280" w:after="100"/>
      </w:pPr>
      <w:r>
        <w:rPr>
          <w:rFonts w:ascii="Arial" w:cs="Arial" w:eastAsia="Arial" w:hAnsi="Arial"/>
          <w:b/>
          <w:bCs/>
          <w:color w:val="4A7C59"/>
          <w:sz w:val="26"/>
          <w:szCs w:val="26"/>
        </w:rPr>
        <w:t xml:space="preserve">3.4 Hub Build</w:t>
      </w:r>
    </w:p>
    <w:p>
      <w:pPr>
        <w:spacing w:before="60" w:after="60"/>
      </w:pPr>
      <w:r>
        <w:rPr>
          <w:rFonts w:ascii="Arial" w:cs="Arial" w:eastAsia="Arial" w:hAnsi="Arial"/>
          <w:b w:val="false"/>
          <w:bCs w:val="false"/>
          <w:color w:val="1A1A1A"/>
          <w:sz w:val="20"/>
          <w:szCs w:val="20"/>
        </w:rPr>
        <w:t xml:space="preserve">Aido's position: build all at once once title is confirmed. Every month not operational is a month the corridor accounts are still buying from Naga.</w:t>
      </w:r>
    </w:p>
    <w:p>
      <w:pPr>
        <w:spacing w:before="60" w:after="60"/>
      </w:pPr>
      <w:r>
        <w:rPr>
          <w:rFonts w:ascii="Arial" w:cs="Arial" w:eastAsia="Arial" w:hAnsi="Arial"/>
          <w:b w:val="false"/>
          <w:bCs w:val="false"/>
          <w:color w:val="1A1A1A"/>
          <w:sz w:val="20"/>
          <w:szCs w:val="20"/>
        </w:rPr>
        <w:t xml:space="preserve">Aileen's position: go slow, manage risk, protect the legal entity.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842A" w:sz="4"/>
              <w:left w:val="single" w:color="C8842A" w:sz="12"/>
              <w:bottom w:val="single" w:color="C8842A" w:sz="4"/>
              <w:right w:val="single" w:color="C8842A" w:sz="4"/>
            </w:tcBorders>
            <w:shd w:fill="F7F3EC" w:val="clear"/>
            <w:tcMar>
              <w:top w:type="dxa" w:w="120"/>
              <w:left w:type="dxa" w:w="180"/>
              <w:bottom w:type="dxa" w:w="120"/>
              <w:right w:type="dxa" w:w="120"/>
            </w:tcMar>
          </w:tcPr>
          <w:p>
            <w:pPr>
              <w:spacing w:before="0" w:after="0"/>
            </w:pPr>
            <w:r>
              <w:rPr>
                <w:rFonts w:ascii="Arial" w:cs="Arial" w:eastAsia="Arial" w:hAnsi="Arial"/>
                <w:color w:val="1A1A1A"/>
                <w:sz w:val="19"/>
                <w:szCs w:val="19"/>
              </w:rPr>
              <w:t xml:space="preserve">Resolution: Title must be confirmed before any slab is poured — that is not caution, that is basic legal sense. Once title is confirmed, artificial staging just delays revenue. Poultry at Agrupacion bridges cash during the title process. Build sequence: Agrupacion poultry first → resolve Pugod/F. Simeon estate → build hub all at once once title is clear.</w:t>
            </w:r>
          </w:p>
        </w:tc>
      </w:tr>
    </w:tbl>
    <w:p>
      <w:pPr>
        <w:spacing w:before="80" w:after="80"/>
      </w:pPr>
      <w:r>
        <w:t xml:space="preserve"/>
      </w:r>
    </w:p>
    <w:p>
      <w:r>
        <w:br/>
      </w:r>
    </w:p>
    <w:p>
      <w:pPr>
        <w:pStyle w:val="Heading1"/>
        <w:spacing w:before="360" w:after="120"/>
      </w:pPr>
      <w:r>
        <w:rPr>
          <w:rFonts w:ascii="Arial" w:cs="Arial" w:eastAsia="Arial" w:hAnsi="Arial"/>
          <w:b/>
          <w:bCs/>
          <w:color w:val="2E5238"/>
          <w:sz w:val="32"/>
          <w:szCs w:val="32"/>
        </w:rPr>
        <w:t xml:space="preserve">4. Panaderia — Own &amp; Operate</w:t>
      </w:r>
    </w:p>
    <w:p>
      <w:pPr>
        <w:spacing w:before="80" w:after="80"/>
      </w:pPr>
      <w:r>
        <w:t xml:space="preserve"/>
      </w:r>
    </w:p>
    <w:p>
      <w:pPr>
        <w:pStyle w:val="Heading2"/>
        <w:spacing w:before="280" w:after="100"/>
      </w:pPr>
      <w:r>
        <w:rPr>
          <w:rFonts w:ascii="Arial" w:cs="Arial" w:eastAsia="Arial" w:hAnsi="Arial"/>
          <w:b/>
          <w:bCs/>
          <w:color w:val="4A7C59"/>
          <w:sz w:val="26"/>
          <w:szCs w:val="26"/>
        </w:rPr>
        <w:t xml:space="preserve">4.1 Decision — Own and Operate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4A7C59" w:val="clear"/>
            <w:tcMar>
              <w:top w:type="dxa" w:w="80"/>
              <w:left w:type="dxa" w:w="120"/>
              <w:bottom w:type="dxa" w:w="80"/>
              <w:right w:type="dxa" w:w="120"/>
            </w:tcMar>
          </w:tcPr>
          <w:p>
            <w:r>
              <w:rPr>
                <w:rFonts w:ascii="Arial" w:cs="Arial" w:eastAsia="Arial" w:hAnsi="Arial"/>
                <w:b/>
                <w:bCs/>
                <w:color w:val="FFFFFF"/>
                <w:sz w:val="19"/>
                <w:szCs w:val="19"/>
              </w:rPr>
              <w:t xml:space="preserve">Model</w:t>
            </w:r>
          </w:p>
        </w:tc>
        <w:tc>
          <w:tcPr>
            <w:tcW w:type="dxa" w:w="4680"/>
            <w:tcBorders>
              <w:top w:val="single" w:color="CCCCCC" w:sz="1"/>
              <w:left w:val="single" w:color="CCCCCC" w:sz="1"/>
              <w:bottom w:val="single" w:color="CCCCCC" w:sz="1"/>
              <w:right w:val="single" w:color="CCCCCC" w:sz="1"/>
            </w:tcBorders>
            <w:shd w:fill="4A7C59" w:val="clear"/>
            <w:tcMar>
              <w:top w:type="dxa" w:w="80"/>
              <w:left w:type="dxa" w:w="120"/>
              <w:bottom w:type="dxa" w:w="80"/>
              <w:right w:type="dxa" w:w="120"/>
            </w:tcMar>
          </w:tcPr>
          <w:p>
            <w:r>
              <w:rPr>
                <w:rFonts w:ascii="Arial" w:cs="Arial" w:eastAsia="Arial" w:hAnsi="Arial"/>
                <w:b/>
                <w:bCs/>
                <w:color w:val="FFFFFF"/>
                <w:sz w:val="19"/>
                <w:szCs w:val="19"/>
              </w:rPr>
              <w:t xml:space="preserve">Year 1 Gross Contribution</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Vendor model — 25% markup on wholesale</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~₱600K</w:t>
            </w:r>
          </w:p>
        </w:tc>
      </w:tr>
      <w:tr>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19"/>
                <w:szCs w:val="19"/>
              </w:rPr>
              <w:t xml:space="preserve">Own and operate — 78–85% gross margin</w:t>
            </w:r>
          </w:p>
        </w:tc>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~₱3.5–4.5M (ramp year)</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Setup cost</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~₱450K all in</w:t>
            </w:r>
          </w:p>
        </w:tc>
      </w:tr>
      <w:tr>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19"/>
                <w:szCs w:val="19"/>
              </w:rPr>
              <w:t xml:space="preserve">Payback period</w:t>
            </w:r>
          </w:p>
        </w:tc>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Approximately 10–14 weeks at ramp volumes</w:t>
            </w:r>
          </w:p>
        </w:tc>
      </w:tr>
    </w:tbl>
    <w:p>
      <w:pPr>
        <w:spacing w:before="80" w:after="80"/>
      </w:pPr>
      <w:r>
        <w:t xml:space="preserve"/>
      </w:r>
    </w:p>
    <w:p>
      <w:pPr>
        <w:pStyle w:val="Heading2"/>
        <w:spacing w:before="280" w:after="100"/>
      </w:pPr>
      <w:r>
        <w:rPr>
          <w:rFonts w:ascii="Arial" w:cs="Arial" w:eastAsia="Arial" w:hAnsi="Arial"/>
          <w:b/>
          <w:bCs/>
          <w:color w:val="4A7C59"/>
          <w:sz w:val="26"/>
          <w:szCs w:val="26"/>
        </w:rPr>
        <w:t xml:space="preserve">4.2 Two-Oven Configuration</w:t>
      </w:r>
    </w:p>
    <w:p>
      <w:pPr>
        <w:spacing w:before="200" w:after="80"/>
      </w:pPr>
      <w:r>
        <w:rPr>
          <w:rFonts w:ascii="Arial" w:cs="Arial" w:eastAsia="Arial" w:hAnsi="Arial"/>
          <w:b/>
          <w:bCs/>
          <w:color w:val="00B0B0"/>
          <w:sz w:val="22"/>
          <w:szCs w:val="22"/>
        </w:rPr>
        <w:t xml:space="preserve">Wood Fired Dome Oven — The Feature</w:t>
      </w:r>
    </w:p>
    <w:p>
      <w:pPr>
        <w:spacing w:before="60" w:after="60"/>
      </w:pPr>
      <w:r>
        <w:rPr>
          <w:rFonts w:ascii="Arial" w:cs="Arial" w:eastAsia="Arial" w:hAnsi="Arial"/>
          <w:b w:val="false"/>
          <w:bCs w:val="false"/>
          <w:color w:val="1A1A1A"/>
          <w:sz w:val="20"/>
          <w:szCs w:val="20"/>
        </w:rPr>
        <w:t xml:space="preserve">Positioned visibly at the hub. Visible from the café, courtyard, and market. This is the theatre and the brand image. Built by a local mason from refractory brick and clay render. Traditional knowledge, local materials, approximately ₱80,000–150,000. Zero running cost forever.</w:t>
      </w:r>
    </w:p>
    <w:p>
      <w:pPr>
        <w:spacing w:before="60" w:after="60"/>
      </w:pPr>
      <w:r>
        <w:rPr>
          <w:rFonts w:ascii="Arial" w:cs="Arial" w:eastAsia="Arial" w:hAnsi="Arial"/>
          <w:b w:val="false"/>
          <w:bCs w:val="false"/>
          <w:color w:val="1A1A1A"/>
          <w:sz w:val="20"/>
          <w:szCs w:val="20"/>
        </w:rPr>
        <w:t xml:space="preserve">What it bakes: Turkish bread, pane di casa loaves, pizza (three channels — see below), showpiece sourdough when baker is ready. Everything that benefits from being seen being made.</w:t>
      </w:r>
    </w:p>
    <w:p>
      <w:pPr>
        <w:spacing w:before="60" w:after="60"/>
      </w:pPr>
      <w:r>
        <w:rPr>
          <w:rFonts w:ascii="Arial" w:cs="Arial" w:eastAsia="Arial" w:hAnsi="Arial"/>
          <w:b w:val="false"/>
          <w:bCs w:val="false"/>
          <w:color w:val="1A1A1A"/>
          <w:sz w:val="20"/>
          <w:szCs w:val="20"/>
        </w:rPr>
        <w:t xml:space="preserve">Why it matters: wood fired bread is in Filipino DNA. Before commercial panaderias every community baked this way. A wood fired oven is not a novelty — it is a return to something people recognise at an emotional level. The café crowd gets the artisan story. The Ragay community gets something that feels like home.</w:t>
      </w:r>
    </w:p>
    <w:p>
      <w:pPr>
        <w:spacing w:before="80" w:after="80"/>
      </w:pPr>
      <w:r>
        <w:t xml:space="preserve"/>
      </w:r>
    </w:p>
    <w:p>
      <w:pPr>
        <w:spacing w:before="200" w:after="80"/>
      </w:pPr>
      <w:r>
        <w:rPr>
          <w:rFonts w:ascii="Arial" w:cs="Arial" w:eastAsia="Arial" w:hAnsi="Arial"/>
          <w:b/>
          <w:bCs/>
          <w:color w:val="00B0B0"/>
          <w:sz w:val="22"/>
          <w:szCs w:val="22"/>
        </w:rPr>
        <w:t xml:space="preserve">Commercial Deck Ovens — The Volume</w:t>
      </w:r>
    </w:p>
    <w:p>
      <w:pPr>
        <w:spacing w:before="60" w:after="60"/>
      </w:pPr>
      <w:r>
        <w:rPr>
          <w:rFonts w:ascii="Arial" w:cs="Arial" w:eastAsia="Arial" w:hAnsi="Arial"/>
          <w:b w:val="false"/>
          <w:bCs w:val="false"/>
          <w:color w:val="1A1A1A"/>
          <w:sz w:val="20"/>
          <w:szCs w:val="20"/>
        </w:rPr>
        <w:t xml:space="preserve">Out the back in the production kitchen. Not visible to customers. Handles daily pan de sal from 4am, pies, pastries, Turkish bread bulk bake, pizza bases. Consistent temperature, no theatre, just output. Two deck, four tray electric. Approximately ₱95,000.</w:t>
      </w:r>
    </w:p>
    <w:p>
      <w:pPr>
        <w:spacing w:before="80" w:after="80"/>
      </w:pPr>
      <w:r>
        <w:t xml:space="preserve"/>
      </w:r>
    </w:p>
    <w:p>
      <w:pPr>
        <w:pStyle w:val="Heading2"/>
        <w:spacing w:before="280" w:after="100"/>
      </w:pPr>
      <w:r>
        <w:rPr>
          <w:rFonts w:ascii="Arial" w:cs="Arial" w:eastAsia="Arial" w:hAnsi="Arial"/>
          <w:b/>
          <w:bCs/>
          <w:color w:val="4A7C59"/>
          <w:sz w:val="26"/>
          <w:szCs w:val="26"/>
        </w:rPr>
        <w:t xml:space="preserve">4.3 Pizza — Three Revenue Channels from One Oven</w:t>
      </w:r>
    </w:p>
    <w:p>
      <w:pPr>
        <w:spacing w:before="200" w:after="80"/>
      </w:pPr>
      <w:r>
        <w:rPr>
          <w:rFonts w:ascii="Arial" w:cs="Arial" w:eastAsia="Arial" w:hAnsi="Arial"/>
          <w:b/>
          <w:bCs/>
          <w:color w:val="00B0B0"/>
          <w:sz w:val="22"/>
          <w:szCs w:val="22"/>
        </w:rPr>
        <w:t xml:space="preserve">Channel 1 — Panaderia Outdoor Casual (no waitstaff)</w:t>
      </w:r>
    </w:p>
    <w:p>
      <w:pPr>
        <w:spacing w:before="60" w:after="60"/>
      </w:pPr>
      <w:r>
        <w:rPr>
          <w:rFonts w:ascii="Arial" w:cs="Arial" w:eastAsia="Arial" w:hAnsi="Arial"/>
          <w:b w:val="false"/>
          <w:bCs w:val="false"/>
          <w:color w:val="1A1A1A"/>
          <w:sz w:val="20"/>
          <w:szCs w:val="20"/>
        </w:rPr>
        <w:t xml:space="preserve">Customer orders at counter. Picks toppings from board. Baker stretches base, loads, slides into dome. Four minutes. Customer takes a number, sits outside. Baker calls the number. Self-service. No waitstaff.</w:t>
      </w:r>
    </w:p>
    <w:p>
      <w:pPr>
        <w:spacing w:before="80" w:after="80"/>
      </w:pPr>
      <w:r>
        <w:t xml:space="preserve"/>
      </w:r>
    </w:p>
    <w:p>
      <w:pPr>
        <w:spacing w:before="200" w:after="80"/>
      </w:pPr>
      <w:r>
        <w:rPr>
          <w:rFonts w:ascii="Arial" w:cs="Arial" w:eastAsia="Arial" w:hAnsi="Arial"/>
          <w:b/>
          <w:bCs/>
          <w:color w:val="00B0B0"/>
          <w:sz w:val="22"/>
          <w:szCs w:val="22"/>
        </w:rPr>
        <w:t xml:space="preserve">Channel 2 — Alejandro's Café Upstairs</w:t>
      </w:r>
    </w:p>
    <w:p>
      <w:pPr>
        <w:spacing w:before="60" w:after="60"/>
      </w:pPr>
      <w:r>
        <w:rPr>
          <w:rFonts w:ascii="Arial" w:cs="Arial" w:eastAsia="Arial" w:hAnsi="Arial"/>
          <w:b w:val="false"/>
          <w:bCs w:val="false"/>
          <w:color w:val="1A1A1A"/>
          <w:sz w:val="20"/>
          <w:szCs w:val="20"/>
        </w:rPr>
        <w:t xml:space="preserve">Ordered through café menu. Made at wood fired oven. Up the dumbwaiter to rear kitchen. Plated with final garnish — herbs from trellis garden, olive oil, shaved cheese. Full service table delivery. Same pizza, elevated presentation, higher price point.</w:t>
      </w:r>
    </w:p>
    <w:p>
      <w:pPr>
        <w:spacing w:before="80" w:after="80"/>
      </w:pPr>
      <w:r>
        <w:t xml:space="preserve"/>
      </w:r>
    </w:p>
    <w:p>
      <w:pPr>
        <w:spacing w:before="200" w:after="80"/>
      </w:pPr>
      <w:r>
        <w:rPr>
          <w:rFonts w:ascii="Arial" w:cs="Arial" w:eastAsia="Arial" w:hAnsi="Arial"/>
          <w:b/>
          <w:bCs/>
          <w:color w:val="00B0B0"/>
          <w:sz w:val="22"/>
          <w:szCs w:val="22"/>
        </w:rPr>
        <w:t xml:space="preserve">Channel 3 — Circuit Distribution</w:t>
      </w:r>
    </w:p>
    <w:p>
      <w:pPr>
        <w:spacing w:before="60" w:after="60"/>
      </w:pPr>
      <w:r>
        <w:rPr>
          <w:rFonts w:ascii="Arial" w:cs="Arial" w:eastAsia="Arial" w:hAnsi="Arial"/>
          <w:b w:val="false"/>
          <w:bCs w:val="false"/>
          <w:color w:val="1A1A1A"/>
          <w:sz w:val="20"/>
          <w:szCs w:val="20"/>
        </w:rPr>
        <w:t xml:space="preserve">Par-baked bases vacuum sealed. Out on the circuit truck to satellite containers and commercial accounts. Hotels, restaurants, institutions receiving quality wood fired pizza bases with no local alternative.</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7C59" w:sz="4"/>
              <w:left w:val="single" w:color="4A7C59" w:sz="12"/>
              <w:bottom w:val="single" w:color="4A7C59" w:sz="4"/>
              <w:right w:val="single" w:color="4A7C59" w:sz="4"/>
            </w:tcBorders>
            <w:shd w:fill="F7F3EC" w:val="clear"/>
            <w:tcMar>
              <w:top w:type="dxa" w:w="120"/>
              <w:left w:type="dxa" w:w="180"/>
              <w:bottom w:type="dxa" w:w="120"/>
              <w:right w:type="dxa" w:w="120"/>
            </w:tcMar>
          </w:tcPr>
          <w:p>
            <w:pPr>
              <w:spacing w:before="0" w:after="0"/>
            </w:pPr>
            <w:r>
              <w:rPr>
                <w:rFonts w:ascii="Arial" w:cs="Arial" w:eastAsia="Arial" w:hAnsi="Arial"/>
                <w:color w:val="1A1A1A"/>
                <w:sz w:val="19"/>
                <w:szCs w:val="19"/>
              </w:rPr>
              <w:t xml:space="preserve">The baker never leaves the oven station. They load, pull, call numbers, send up the dumbwaiter. Kitchen upstairs handles café plating. Counter handles outdoor orders. Three revenue streams, one fire.</w:t>
            </w:r>
          </w:p>
        </w:tc>
      </w:tr>
    </w:tbl>
    <w:p>
      <w:pPr>
        <w:spacing w:before="80" w:after="80"/>
      </w:pPr>
      <w:r>
        <w:t xml:space="preserve"/>
      </w:r>
    </w:p>
    <w:p>
      <w:pPr>
        <w:pStyle w:val="Heading2"/>
        <w:spacing w:before="280" w:after="100"/>
      </w:pPr>
      <w:r>
        <w:rPr>
          <w:rFonts w:ascii="Arial" w:cs="Arial" w:eastAsia="Arial" w:hAnsi="Arial"/>
          <w:b/>
          <w:bCs/>
          <w:color w:val="4A7C59"/>
          <w:sz w:val="26"/>
          <w:szCs w:val="26"/>
        </w:rPr>
        <w:t xml:space="preserve">4.4 Panaderia as Casual Dining</w:t>
      </w:r>
    </w:p>
    <w:p>
      <w:pPr>
        <w:spacing w:before="60" w:after="60"/>
      </w:pPr>
      <w:r>
        <w:rPr>
          <w:rFonts w:ascii="Arial" w:cs="Arial" w:eastAsia="Arial" w:hAnsi="Arial"/>
          <w:b w:val="false"/>
          <w:bCs w:val="false"/>
          <w:color w:val="1A1A1A"/>
          <w:sz w:val="20"/>
          <w:szCs w:val="20"/>
        </w:rPr>
        <w:t xml:space="preserve">The outdoor area adjacent to the wood fired oven is a casual eat space. No table service, no FOH, no waitstaff cost. 40–60 casual covers simultaneously while the café runs 100 covers upstairs in full service.</w:t>
      </w:r>
    </w:p>
    <w:p>
      <w:pPr>
        <w:spacing w:before="60" w:after="60"/>
      </w:pPr>
      <w:r>
        <w:rPr>
          <w:rFonts w:ascii="Arial" w:cs="Arial" w:eastAsia="Arial" w:hAnsi="Arial"/>
          <w:b w:val="false"/>
          <w:bCs w:val="false"/>
          <w:color w:val="1A1A1A"/>
          <w:sz w:val="20"/>
          <w:szCs w:val="20"/>
        </w:rPr>
        <w:t xml:space="preserve">The outdoor space activates the hub courtyard. Customers eating outside see the food forest, the butcher counter through the glass, smell the wood smoke, watch the baker work. Entry-point customers who would not book a café table will sit outside with a pizza. Some come back for the café. Some become circuit account customers.</w:t>
      </w:r>
    </w:p>
    <w:p>
      <w:pPr>
        <w:spacing w:before="80" w:after="80"/>
      </w:pPr>
      <w:r>
        <w:t xml:space="preserve"/>
      </w:r>
    </w:p>
    <w:p>
      <w:pPr>
        <w:pStyle w:val="Heading2"/>
        <w:spacing w:before="280" w:after="100"/>
      </w:pPr>
      <w:r>
        <w:rPr>
          <w:rFonts w:ascii="Arial" w:cs="Arial" w:eastAsia="Arial" w:hAnsi="Arial"/>
          <w:b/>
          <w:bCs/>
          <w:color w:val="4A7C59"/>
          <w:sz w:val="26"/>
          <w:szCs w:val="26"/>
        </w:rPr>
        <w:t xml:space="preserve">4.5 Full Product Range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4A7C59" w:val="clear"/>
            <w:tcMar>
              <w:top w:type="dxa" w:w="80"/>
              <w:left w:type="dxa" w:w="120"/>
              <w:bottom w:type="dxa" w:w="80"/>
              <w:right w:type="dxa" w:w="120"/>
            </w:tcMar>
          </w:tcPr>
          <w:p>
            <w:r>
              <w:rPr>
                <w:rFonts w:ascii="Arial" w:cs="Arial" w:eastAsia="Arial" w:hAnsi="Arial"/>
                <w:b/>
                <w:bCs/>
                <w:color w:val="FFFFFF"/>
                <w:sz w:val="19"/>
                <w:szCs w:val="19"/>
              </w:rPr>
              <w:t xml:space="preserve">Category</w:t>
            </w:r>
          </w:p>
        </w:tc>
        <w:tc>
          <w:tcPr>
            <w:tcW w:type="dxa" w:w="4680"/>
            <w:tcBorders>
              <w:top w:val="single" w:color="CCCCCC" w:sz="1"/>
              <w:left w:val="single" w:color="CCCCCC" w:sz="1"/>
              <w:bottom w:val="single" w:color="CCCCCC" w:sz="1"/>
              <w:right w:val="single" w:color="CCCCCC" w:sz="1"/>
            </w:tcBorders>
            <w:shd w:fill="4A7C59" w:val="clear"/>
            <w:tcMar>
              <w:top w:type="dxa" w:w="80"/>
              <w:left w:type="dxa" w:w="120"/>
              <w:bottom w:type="dxa" w:w="80"/>
              <w:right w:type="dxa" w:w="120"/>
            </w:tcMar>
          </w:tcPr>
          <w:p>
            <w:r>
              <w:rPr>
                <w:rFonts w:ascii="Arial" w:cs="Arial" w:eastAsia="Arial" w:hAnsi="Arial"/>
                <w:b/>
                <w:bCs/>
                <w:color w:val="FFFFFF"/>
                <w:sz w:val="19"/>
                <w:szCs w:val="19"/>
              </w:rPr>
              <w:t xml:space="preserve">Products</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Traditional Bicol breads</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Pan de sal, pan de sal large, monay, putok, pandesal filled (cheese/ube/mongo/corned beef), tinapay loaf, ensaymada</w:t>
            </w:r>
          </w:p>
        </w:tc>
      </w:tr>
      <w:tr>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19"/>
                <w:szCs w:val="19"/>
              </w:rPr>
              <w:t xml:space="preserve">Artisan range — wood fired</w:t>
            </w:r>
          </w:p>
        </w:tc>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Turkish bread, pane di casa, sourdough (phase 2 — baker skill dependent)</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Aussie meat pies</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Classic beef, beef &amp; mushroom, chicken &amp; veg, pork &amp; chilli, goat caldereta, egg &amp; bacon, pie floater, family pie 6-serve</w:t>
            </w:r>
          </w:p>
        </w:tc>
      </w:tr>
      <w:tr>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19"/>
                <w:szCs w:val="19"/>
              </w:rPr>
              <w:t xml:space="preserve">Café pastries</w:t>
            </w:r>
          </w:p>
        </w:tc>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Banana bread, ube pandesal, leche flan, cheese danish, puto, bibingka (seasonal), croissant (phase 2)</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Pizza — made to order</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Toppings prepped by kitchen and butcher. Customer picks. Baker assembles and fires. Three channels as above.</w:t>
            </w:r>
          </w:p>
        </w:tc>
      </w:tr>
    </w:tbl>
    <w:p>
      <w:pPr>
        <w:spacing w:before="80" w:after="80"/>
      </w:pPr>
      <w:r>
        <w:t xml:space="preserve"/>
      </w:r>
    </w:p>
    <w:p>
      <w:pPr>
        <w:pStyle w:val="Heading2"/>
        <w:spacing w:before="280" w:after="100"/>
      </w:pPr>
      <w:r>
        <w:rPr>
          <w:rFonts w:ascii="Arial" w:cs="Arial" w:eastAsia="Arial" w:hAnsi="Arial"/>
          <w:b/>
          <w:bCs/>
          <w:color w:val="4A7C59"/>
          <w:sz w:val="26"/>
          <w:szCs w:val="26"/>
        </w:rPr>
        <w:t xml:space="preserve">4.6 Gross Margins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4A7C59" w:val="clear"/>
            <w:tcMar>
              <w:top w:type="dxa" w:w="80"/>
              <w:left w:type="dxa" w:w="120"/>
              <w:bottom w:type="dxa" w:w="80"/>
              <w:right w:type="dxa" w:w="120"/>
            </w:tcMar>
          </w:tcPr>
          <w:p>
            <w:r>
              <w:rPr>
                <w:rFonts w:ascii="Arial" w:cs="Arial" w:eastAsia="Arial" w:hAnsi="Arial"/>
                <w:b/>
                <w:bCs/>
                <w:color w:val="FFFFFF"/>
                <w:sz w:val="19"/>
                <w:szCs w:val="19"/>
              </w:rPr>
              <w:t xml:space="preserve">Product Category</w:t>
            </w:r>
          </w:p>
        </w:tc>
        <w:tc>
          <w:tcPr>
            <w:tcW w:type="dxa" w:w="4680"/>
            <w:tcBorders>
              <w:top w:val="single" w:color="CCCCCC" w:sz="1"/>
              <w:left w:val="single" w:color="CCCCCC" w:sz="1"/>
              <w:bottom w:val="single" w:color="CCCCCC" w:sz="1"/>
              <w:right w:val="single" w:color="CCCCCC" w:sz="1"/>
            </w:tcBorders>
            <w:shd w:fill="4A7C59" w:val="clear"/>
            <w:tcMar>
              <w:top w:type="dxa" w:w="80"/>
              <w:left w:type="dxa" w:w="120"/>
              <w:bottom w:type="dxa" w:w="80"/>
              <w:right w:type="dxa" w:w="120"/>
            </w:tcMar>
          </w:tcPr>
          <w:p>
            <w:r>
              <w:rPr>
                <w:rFonts w:ascii="Arial" w:cs="Arial" w:eastAsia="Arial" w:hAnsi="Arial"/>
                <w:b/>
                <w:bCs/>
                <w:color w:val="FFFFFF"/>
                <w:sz w:val="19"/>
                <w:szCs w:val="19"/>
              </w:rPr>
              <w:t xml:space="preserve">Gross Margin</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Pan de sal and enriched breads</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78–85%</w:t>
            </w:r>
          </w:p>
        </w:tc>
      </w:tr>
      <w:tr>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19"/>
                <w:szCs w:val="19"/>
              </w:rPr>
              <w:t xml:space="preserve">Aussie meat pies</w:t>
            </w:r>
          </w:p>
        </w:tc>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71–73%</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Artisan breads (Turkish, pane di casa)</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80–85%</w:t>
            </w:r>
          </w:p>
        </w:tc>
      </w:tr>
      <w:tr>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19"/>
                <w:szCs w:val="19"/>
              </w:rPr>
              <w:t xml:space="preserve">Café pastries</w:t>
            </w:r>
          </w:p>
        </w:tc>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75–86%</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Pizza — own toppings</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~80%</w:t>
            </w:r>
          </w:p>
        </w:tc>
      </w:tr>
    </w:tbl>
    <w:p>
      <w:pPr>
        <w:spacing w:before="60" w:after="60"/>
      </w:pPr>
      <w:r>
        <w:rPr>
          <w:rFonts w:ascii="Arial" w:cs="Arial" w:eastAsia="Arial" w:hAnsi="Arial"/>
          <w:b w:val="false"/>
          <w:bCs w:val="false"/>
          <w:color w:val="1A1A1A"/>
          <w:sz w:val="20"/>
          <w:szCs w:val="20"/>
        </w:rPr>
        <w:t xml:space="preserve">Margins are exceptional because own-farm eggs, own-raised meat, and own-grown produce go in at internal transfer price. The food cost on the menu is the cost of the extras — packaging, spices, condiments — not the primary ingredient.</w:t>
      </w:r>
    </w:p>
    <w:p>
      <w:pPr>
        <w:spacing w:before="80" w:after="80"/>
      </w:pPr>
      <w:r>
        <w:t xml:space="preserve"/>
      </w:r>
    </w:p>
    <w:p>
      <w:pPr>
        <w:pStyle w:val="Heading2"/>
        <w:spacing w:before="280" w:after="100"/>
      </w:pPr>
      <w:r>
        <w:rPr>
          <w:rFonts w:ascii="Arial" w:cs="Arial" w:eastAsia="Arial" w:hAnsi="Arial"/>
          <w:b/>
          <w:bCs/>
          <w:color w:val="4A7C59"/>
          <w:sz w:val="26"/>
          <w:szCs w:val="26"/>
        </w:rPr>
        <w:t xml:space="preserve">4.7 Staffing</w:t>
      </w:r>
    </w:p>
    <w:p>
      <w:pPr>
        <w:spacing w:before="60" w:after="60"/>
      </w:pPr>
      <w:r>
        <w:rPr>
          <w:rFonts w:ascii="Arial" w:cs="Arial" w:eastAsia="Arial" w:hAnsi="Arial"/>
          <w:b w:val="false"/>
          <w:bCs w:val="false"/>
          <w:color w:val="1A1A1A"/>
          <w:sz w:val="20"/>
          <w:szCs w:val="20"/>
        </w:rPr>
        <w:t xml:space="preserve">One full-time baker. One casual assistant. Pan de sal is baked before sunrise every day across the Philippines — the baking knowledge is everywhere in Ragay. The Aussie pie range and artisan bread techniques are trained in-house, approximately two weeks alongside Aido before opening. Aido should be in the kitchen the first month to set the standard on pies and wood fired technique before handing over.</w:t>
      </w:r>
    </w:p>
    <w:p>
      <w:pPr>
        <w:spacing w:before="80" w:after="80"/>
      </w:pPr>
      <w:r>
        <w:t xml:space="preserve"/>
      </w:r>
    </w:p>
    <w:p>
      <w:r>
        <w:br/>
      </w:r>
    </w:p>
    <w:p>
      <w:pPr>
        <w:pStyle w:val="Heading1"/>
        <w:spacing w:before="360" w:after="120"/>
      </w:pPr>
      <w:r>
        <w:rPr>
          <w:rFonts w:ascii="Arial" w:cs="Arial" w:eastAsia="Arial" w:hAnsi="Arial"/>
          <w:b/>
          <w:bCs/>
          <w:color w:val="2E5238"/>
          <w:sz w:val="32"/>
          <w:szCs w:val="32"/>
        </w:rPr>
        <w:t xml:space="preserve">5. Livestock — Validated Numbers</w:t>
      </w:r>
    </w:p>
    <w:p>
      <w:pPr>
        <w:spacing w:before="60" w:after="60"/>
      </w:pPr>
      <w:r>
        <w:rPr>
          <w:rFonts w:ascii="Arial" w:cs="Arial" w:eastAsia="Arial" w:hAnsi="Arial"/>
          <w:b w:val="false"/>
          <w:bCs w:val="false"/>
          <w:color w:val="1A1A1A"/>
          <w:sz w:val="20"/>
          <w:szCs w:val="20"/>
        </w:rPr>
        <w:t xml:space="preserve">Calculated directly with Aido. These represent confirmed annual throughput at full operations.</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2880"/>
        <w:gridCol w:w="3360"/>
      </w:tblGrid>
      <w:tr>
        <w:tc>
          <w:tcPr>
            <w:tcW w:type="dxa" w:w="3120"/>
            <w:tcBorders>
              <w:top w:val="single" w:color="CCCCCC" w:sz="1"/>
              <w:left w:val="single" w:color="CCCCCC" w:sz="1"/>
              <w:bottom w:val="single" w:color="CCCCCC" w:sz="1"/>
              <w:right w:val="single" w:color="CCCCCC" w:sz="1"/>
            </w:tcBorders>
            <w:shd w:fill="4A7C59" w:val="clear"/>
            <w:tcMar>
              <w:top w:type="dxa" w:w="80"/>
              <w:left w:type="dxa" w:w="120"/>
              <w:bottom w:type="dxa" w:w="80"/>
              <w:right w:type="dxa" w:w="120"/>
            </w:tcMar>
          </w:tcPr>
          <w:p>
            <w:r>
              <w:rPr>
                <w:rFonts w:ascii="Arial" w:cs="Arial" w:eastAsia="Arial" w:hAnsi="Arial"/>
                <w:b/>
                <w:bCs/>
                <w:color w:val="FFFFFF"/>
                <w:sz w:val="19"/>
                <w:szCs w:val="19"/>
              </w:rPr>
              <w:t xml:space="preserve">Species</w:t>
            </w:r>
          </w:p>
        </w:tc>
        <w:tc>
          <w:tcPr>
            <w:tcW w:type="dxa" w:w="2880"/>
            <w:tcBorders>
              <w:top w:val="single" w:color="CCCCCC" w:sz="1"/>
              <w:left w:val="single" w:color="CCCCCC" w:sz="1"/>
              <w:bottom w:val="single" w:color="CCCCCC" w:sz="1"/>
              <w:right w:val="single" w:color="CCCCCC" w:sz="1"/>
            </w:tcBorders>
            <w:shd w:fill="4A7C59" w:val="clear"/>
            <w:tcMar>
              <w:top w:type="dxa" w:w="80"/>
              <w:left w:type="dxa" w:w="120"/>
              <w:bottom w:type="dxa" w:w="80"/>
              <w:right w:type="dxa" w:w="120"/>
            </w:tcMar>
          </w:tcPr>
          <w:p>
            <w:r>
              <w:rPr>
                <w:rFonts w:ascii="Arial" w:cs="Arial" w:eastAsia="Arial" w:hAnsi="Arial"/>
                <w:b/>
                <w:bCs/>
                <w:color w:val="FFFFFF"/>
                <w:sz w:val="19"/>
                <w:szCs w:val="19"/>
              </w:rPr>
              <w:t xml:space="preserve">Throughput</w:t>
            </w:r>
          </w:p>
        </w:tc>
        <w:tc>
          <w:tcPr>
            <w:tcW w:type="dxa" w:w="3360"/>
            <w:tcBorders>
              <w:top w:val="single" w:color="CCCCCC" w:sz="1"/>
              <w:left w:val="single" w:color="CCCCCC" w:sz="1"/>
              <w:bottom w:val="single" w:color="CCCCCC" w:sz="1"/>
              <w:right w:val="single" w:color="CCCCCC" w:sz="1"/>
            </w:tcBorders>
            <w:shd w:fill="4A7C59" w:val="clear"/>
            <w:tcMar>
              <w:top w:type="dxa" w:w="80"/>
              <w:left w:type="dxa" w:w="120"/>
              <w:bottom w:type="dxa" w:w="80"/>
              <w:right w:type="dxa" w:w="120"/>
            </w:tcMar>
          </w:tcPr>
          <w:p>
            <w:r>
              <w:rPr>
                <w:rFonts w:ascii="Arial" w:cs="Arial" w:eastAsia="Arial" w:hAnsi="Arial"/>
                <w:b/>
                <w:bCs/>
                <w:color w:val="FFFFFF"/>
                <w:sz w:val="19"/>
                <w:szCs w:val="19"/>
              </w:rPr>
              <w:t xml:space="preserve">Annual Revenue</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Cattle — 20 head</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220kg saleable × 20 = 4,400kg at ₱380/kg</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₱1,672,000</w:t>
            </w:r>
          </w:p>
        </w:tc>
      </w:tr>
      <w:tr>
        <w:tc>
          <w:tcPr>
            <w:tcW w:type="dxa" w:w="31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Goats — 100 head</w:t>
            </w:r>
          </w:p>
        </w:tc>
        <w:tc>
          <w:tcPr>
            <w:tcW w:type="dxa" w:w="28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14kg saleable × 100 = 1,400kg at ₱320/kg</w:t>
            </w:r>
          </w:p>
        </w:tc>
        <w:tc>
          <w:tcPr>
            <w:tcW w:type="dxa" w:w="3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₱448,000</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Pigs — 200 head (purchased)</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70kg saleable × 200 = 14,000kg at ₱270/kg</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₱3,780,000</w:t>
            </w:r>
          </w:p>
        </w:tc>
      </w:tr>
      <w:tr>
        <w:tc>
          <w:tcPr>
            <w:tcW w:type="dxa" w:w="31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Eggs — 1,000 layers</w:t>
            </w:r>
          </w:p>
        </w:tc>
        <w:tc>
          <w:tcPr>
            <w:tcW w:type="dxa" w:w="28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80% lay rate = 292,000 eggs/yr at ₱9/egg</w:t>
            </w:r>
          </w:p>
        </w:tc>
        <w:tc>
          <w:tcPr>
            <w:tcW w:type="dxa" w:w="3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₱2,628,000</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Meat chickens — 2,000 birds</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1.4kg dressed × 2,000 = 2,800kg at ₱220/kg</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₱616,000</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TOTAL LIVESTOCK</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Validated with Aido</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₱9,144,000</w:t>
            </w:r>
          </w:p>
        </w:tc>
      </w:tr>
    </w:tbl>
    <w:p>
      <w:pPr>
        <w:spacing w:before="80" w:after="80"/>
      </w:pPr>
      <w:r>
        <w:t xml:space="preserve"/>
      </w:r>
    </w:p>
    <w:p>
      <w:pPr>
        <w:spacing w:before="60" w:after="60"/>
      </w:pPr>
      <w:r>
        <w:rPr>
          <w:rFonts w:ascii="Arial" w:cs="Arial" w:eastAsia="Arial" w:hAnsi="Arial"/>
          <w:b w:val="false"/>
          <w:bCs w:val="false"/>
          <w:color w:val="1A1A1A"/>
          <w:sz w:val="20"/>
          <w:szCs w:val="20"/>
        </w:rPr>
        <w:t xml:space="preserve">Cattle and goats: no purchase cost. COGS is wages, pasture, water, minimal vet. Pigs: purchased stock, real COGS on buy price plus feed. Chickens: feed and wages only. All slaughter through local licensed abattoir. Slaughter fee per head is the COGS line.</w:t>
      </w:r>
    </w:p>
    <w:p>
      <w:pPr>
        <w:spacing w:before="80" w:after="80"/>
      </w:pPr>
      <w:r>
        <w:t xml:space="preserve"/>
      </w:r>
    </w:p>
    <w:p>
      <w:r>
        <w:br/>
      </w:r>
    </w:p>
    <w:p>
      <w:pPr>
        <w:pStyle w:val="Heading1"/>
        <w:spacing w:before="360" w:after="120"/>
      </w:pPr>
      <w:r>
        <w:rPr>
          <w:rFonts w:ascii="Arial" w:cs="Arial" w:eastAsia="Arial" w:hAnsi="Arial"/>
          <w:b/>
          <w:bCs/>
          <w:color w:val="2E5238"/>
          <w:sz w:val="32"/>
          <w:szCs w:val="32"/>
        </w:rPr>
        <w:t xml:space="preserve">6. Code Brief — Ops Site Updates</w:t>
      </w:r>
    </w:p>
    <w:p>
      <w:pPr>
        <w:spacing w:before="60" w:after="60"/>
      </w:pPr>
      <w:r>
        <w:rPr>
          <w:rFonts w:ascii="Arial" w:cs="Arial" w:eastAsia="Arial" w:hAnsi="Arial"/>
          <w:b w:val="false"/>
          <w:bCs w:val="false"/>
          <w:color w:val="1A1A1A"/>
          <w:sz w:val="20"/>
          <w:szCs w:val="20"/>
        </w:rPr>
        <w:t xml:space="preserve">Everything from this session that needs to be added to nana-bambis.netlify.app/ops/ — formatted as a brief for implementation.</w:t>
      </w:r>
    </w:p>
    <w:p>
      <w:pPr>
        <w:spacing w:before="80" w:after="80"/>
      </w:pPr>
      <w:r>
        <w:t xml:space="preserve"/>
      </w:r>
    </w:p>
    <w:p>
      <w:pPr>
        <w:pStyle w:val="Heading2"/>
        <w:spacing w:before="280" w:after="100"/>
      </w:pPr>
      <w:r>
        <w:rPr>
          <w:rFonts w:ascii="Arial" w:cs="Arial" w:eastAsia="Arial" w:hAnsi="Arial"/>
          <w:b/>
          <w:bCs/>
          <w:color w:val="4A7C59"/>
          <w:sz w:val="26"/>
          <w:szCs w:val="26"/>
        </w:rPr>
        <w:t xml:space="preserve">6.1 Update: /ops/panaderia</w:t>
      </w:r>
    </w:p>
    <w:p>
      <w:pPr>
        <w:spacing w:before="60" w:after="60"/>
      </w:pPr>
      <w:r>
        <w:rPr>
          <w:rFonts w:ascii="Arial" w:cs="Arial" w:eastAsia="Arial" w:hAnsi="Arial"/>
          <w:b w:val="false"/>
          <w:bCs w:val="false"/>
          <w:color w:val="1A1A1A"/>
          <w:sz w:val="20"/>
          <w:szCs w:val="20"/>
        </w:rPr>
        <w:t xml:space="preserve">Replace all vendor model references. This is now own and operate.</w:t>
      </w:r>
    </w:p>
    <w:p>
      <w:pPr>
        <w:pStyle w:val="ListParagraph"/>
        <w:numPr>
          <w:ilvl w:val="0"/>
          <w:numId w:val="2"/>
        </w:numPr>
        <w:spacing w:before="40" w:after="40"/>
      </w:pPr>
      <w:r>
        <w:rPr>
          <w:rFonts w:ascii="Arial" w:cs="Arial" w:eastAsia="Arial" w:hAnsi="Arial"/>
          <w:b w:val="false"/>
          <w:bCs w:val="false"/>
          <w:color w:val="1A1A1A"/>
          <w:sz w:val="20"/>
          <w:szCs w:val="20"/>
        </w:rPr>
        <w:t xml:space="preserve">Add: Oven setup section — wood fired dome (feature, visible, customer-facing) + commercial deck ovens (production, out the back). Describe each separately with purpose and what it bakes.</w:t>
      </w:r>
    </w:p>
    <w:p>
      <w:pPr>
        <w:pStyle w:val="ListParagraph"/>
        <w:numPr>
          <w:ilvl w:val="0"/>
          <w:numId w:val="2"/>
        </w:numPr>
        <w:spacing w:before="40" w:after="40"/>
      </w:pPr>
      <w:r>
        <w:rPr>
          <w:rFonts w:ascii="Arial" w:cs="Arial" w:eastAsia="Arial" w:hAnsi="Arial"/>
          <w:b w:val="false"/>
          <w:bCs w:val="false"/>
          <w:color w:val="1A1A1A"/>
          <w:sz w:val="20"/>
          <w:szCs w:val="20"/>
        </w:rPr>
        <w:t xml:space="preserve">Add: Pizza operations section — three-channel model with full description of each channel (outdoor casual, café via dumbwaiter, circuit distribution). Baker stays at oven station at all times.</w:t>
      </w:r>
    </w:p>
    <w:p>
      <w:pPr>
        <w:pStyle w:val="ListParagraph"/>
        <w:numPr>
          <w:ilvl w:val="0"/>
          <w:numId w:val="2"/>
        </w:numPr>
        <w:spacing w:before="40" w:after="40"/>
      </w:pPr>
      <w:r>
        <w:rPr>
          <w:rFonts w:ascii="Arial" w:cs="Arial" w:eastAsia="Arial" w:hAnsi="Arial"/>
          <w:b w:val="false"/>
          <w:bCs w:val="false"/>
          <w:color w:val="1A1A1A"/>
          <w:sz w:val="20"/>
          <w:szCs w:val="20"/>
        </w:rPr>
        <w:t xml:space="preserve">Add: Outdoor casual dining description — 40–60 covers, no waitstaff, order at counter, number system.</w:t>
      </w:r>
    </w:p>
    <w:p>
      <w:pPr>
        <w:pStyle w:val="ListParagraph"/>
        <w:numPr>
          <w:ilvl w:val="0"/>
          <w:numId w:val="2"/>
        </w:numPr>
        <w:spacing w:before="40" w:after="40"/>
      </w:pPr>
      <w:r>
        <w:rPr>
          <w:rFonts w:ascii="Arial" w:cs="Arial" w:eastAsia="Arial" w:hAnsi="Arial"/>
          <w:b w:val="false"/>
          <w:bCs w:val="false"/>
          <w:color w:val="1A1A1A"/>
          <w:sz w:val="20"/>
          <w:szCs w:val="20"/>
        </w:rPr>
        <w:t xml:space="preserve">Update: Full product list — traditional breads, artisan range, Aussie meat pies (all 8 variants), café pastries, made-to-order pizza.</w:t>
      </w:r>
    </w:p>
    <w:p>
      <w:pPr>
        <w:pStyle w:val="ListParagraph"/>
        <w:numPr>
          <w:ilvl w:val="0"/>
          <w:numId w:val="2"/>
        </w:numPr>
        <w:spacing w:before="40" w:after="40"/>
      </w:pPr>
      <w:r>
        <w:rPr>
          <w:rFonts w:ascii="Arial" w:cs="Arial" w:eastAsia="Arial" w:hAnsi="Arial"/>
          <w:b w:val="false"/>
          <w:bCs w:val="false"/>
          <w:color w:val="1A1A1A"/>
          <w:sz w:val="20"/>
          <w:szCs w:val="20"/>
        </w:rPr>
        <w:t xml:space="preserve">Update: Staffing — 1 FT baker + 1 casual. Baker sourced locally. Pie and artisan training in-house.</w:t>
      </w:r>
    </w:p>
    <w:p>
      <w:pPr>
        <w:pStyle w:val="ListParagraph"/>
        <w:numPr>
          <w:ilvl w:val="0"/>
          <w:numId w:val="2"/>
        </w:numPr>
        <w:spacing w:before="40" w:after="40"/>
      </w:pPr>
      <w:r>
        <w:rPr>
          <w:rFonts w:ascii="Arial" w:cs="Arial" w:eastAsia="Arial" w:hAnsi="Arial"/>
          <w:b w:val="false"/>
          <w:bCs w:val="false"/>
          <w:color w:val="1A1A1A"/>
          <w:sz w:val="20"/>
          <w:szCs w:val="20"/>
        </w:rPr>
        <w:t xml:space="preserve">Update: SOPs — daily fire lighting, dough schedule (3am start), pie filling prep handover from kitchen, toppings handover to panaderia station.</w:t>
      </w:r>
    </w:p>
    <w:p>
      <w:pPr>
        <w:spacing w:before="80" w:after="80"/>
      </w:pPr>
      <w:r>
        <w:t xml:space="preserve"/>
      </w:r>
    </w:p>
    <w:p>
      <w:pPr>
        <w:pStyle w:val="Heading2"/>
        <w:spacing w:before="280" w:after="100"/>
      </w:pPr>
      <w:r>
        <w:rPr>
          <w:rFonts w:ascii="Arial" w:cs="Arial" w:eastAsia="Arial" w:hAnsi="Arial"/>
          <w:b/>
          <w:bCs/>
          <w:color w:val="4A7C59"/>
          <w:sz w:val="26"/>
          <w:szCs w:val="26"/>
        </w:rPr>
        <w:t xml:space="preserve">6.2 New Document: Tax Strategy</w:t>
      </w:r>
    </w:p>
    <w:p>
      <w:pPr>
        <w:spacing w:before="60" w:after="60"/>
      </w:pPr>
      <w:r>
        <w:rPr>
          <w:rFonts w:ascii="Arial" w:cs="Arial" w:eastAsia="Arial" w:hAnsi="Arial"/>
          <w:b w:val="false"/>
          <w:bCs w:val="false"/>
          <w:color w:val="1A1A1A"/>
          <w:sz w:val="20"/>
          <w:szCs w:val="20"/>
        </w:rPr>
        <w:t xml:space="preserve">Add to library as a new PDF or ops page. Content:</w:t>
      </w:r>
    </w:p>
    <w:p>
      <w:pPr>
        <w:pStyle w:val="ListParagraph"/>
        <w:numPr>
          <w:ilvl w:val="0"/>
          <w:numId w:val="2"/>
        </w:numPr>
        <w:spacing w:before="40" w:after="40"/>
      </w:pPr>
      <w:r>
        <w:rPr>
          <w:rFonts w:ascii="Arial" w:cs="Arial" w:eastAsia="Arial" w:hAnsi="Arial"/>
          <w:b w:val="false"/>
          <w:bCs w:val="false"/>
          <w:color w:val="1A1A1A"/>
          <w:sz w:val="20"/>
          <w:szCs w:val="20"/>
        </w:rPr>
        <w:t xml:space="preserve">Corporate income tax — 20% vs 25% threshold explained</w:t>
      </w:r>
    </w:p>
    <w:p>
      <w:pPr>
        <w:pStyle w:val="ListParagraph"/>
        <w:numPr>
          <w:ilvl w:val="0"/>
          <w:numId w:val="2"/>
        </w:numPr>
        <w:spacing w:before="40" w:after="40"/>
      </w:pPr>
      <w:r>
        <w:rPr>
          <w:rFonts w:ascii="Arial" w:cs="Arial" w:eastAsia="Arial" w:hAnsi="Arial"/>
          <w:b w:val="false"/>
          <w:bCs w:val="false"/>
          <w:color w:val="1A1A1A"/>
          <w:sz w:val="20"/>
          <w:szCs w:val="20"/>
        </w:rPr>
        <w:t xml:space="preserve">Full deductions list from Section 1.3 of this document</w:t>
      </w:r>
    </w:p>
    <w:p>
      <w:pPr>
        <w:pStyle w:val="ListParagraph"/>
        <w:numPr>
          <w:ilvl w:val="0"/>
          <w:numId w:val="2"/>
        </w:numPr>
        <w:spacing w:before="40" w:after="40"/>
      </w:pPr>
      <w:r>
        <w:rPr>
          <w:rFonts w:ascii="Arial" w:cs="Arial" w:eastAsia="Arial" w:hAnsi="Arial"/>
          <w:b w:val="false"/>
          <w:bCs w:val="false"/>
          <w:color w:val="1A1A1A"/>
          <w:sz w:val="20"/>
          <w:szCs w:val="20"/>
        </w:rPr>
        <w:t xml:space="preserve">FBT on manager's residence — calculation and rationale</w:t>
      </w:r>
    </w:p>
    <w:p>
      <w:pPr>
        <w:pStyle w:val="ListParagraph"/>
        <w:numPr>
          <w:ilvl w:val="0"/>
          <w:numId w:val="2"/>
        </w:numPr>
        <w:spacing w:before="40" w:after="40"/>
      </w:pPr>
      <w:r>
        <w:rPr>
          <w:rFonts w:ascii="Arial" w:cs="Arial" w:eastAsia="Arial" w:hAnsi="Arial"/>
          <w:b w:val="false"/>
          <w:bCs w:val="false"/>
          <w:color w:val="1A1A1A"/>
          <w:sz w:val="20"/>
          <w:szCs w:val="20"/>
        </w:rPr>
        <w:t xml:space="preserve">VAT threshold strategy — 8% flat vs VAT registered</w:t>
      </w:r>
    </w:p>
    <w:p>
      <w:pPr>
        <w:pStyle w:val="ListParagraph"/>
        <w:numPr>
          <w:ilvl w:val="0"/>
          <w:numId w:val="2"/>
        </w:numPr>
        <w:spacing w:before="40" w:after="40"/>
      </w:pPr>
      <w:r>
        <w:rPr>
          <w:rFonts w:ascii="Arial" w:cs="Arial" w:eastAsia="Arial" w:hAnsi="Arial"/>
          <w:b w:val="false"/>
          <w:bCs w:val="false"/>
          <w:color w:val="1A1A1A"/>
          <w:sz w:val="20"/>
          <w:szCs w:val="20"/>
        </w:rPr>
        <w:t xml:space="preserve">Agricultural VAT exemption — which products are exempt, why POS Stock Type field matters</w:t>
      </w:r>
    </w:p>
    <w:p>
      <w:pPr>
        <w:pStyle w:val="ListParagraph"/>
        <w:numPr>
          <w:ilvl w:val="0"/>
          <w:numId w:val="2"/>
        </w:numPr>
        <w:spacing w:before="40" w:after="40"/>
      </w:pPr>
      <w:r>
        <w:rPr>
          <w:rFonts w:ascii="Arial" w:cs="Arial" w:eastAsia="Arial" w:hAnsi="Arial"/>
          <w:b w:val="false"/>
          <w:bCs w:val="false"/>
          <w:color w:val="1A1A1A"/>
          <w:sz w:val="20"/>
          <w:szCs w:val="20"/>
        </w:rPr>
        <w:t xml:space="preserve">SSS/PhilHealth/Pag-IBIG — contributions as deductions, not refunds</w:t>
      </w:r>
    </w:p>
    <w:p>
      <w:pPr>
        <w:pStyle w:val="ListParagraph"/>
        <w:numPr>
          <w:ilvl w:val="0"/>
          <w:numId w:val="2"/>
        </w:numPr>
        <w:spacing w:before="40" w:after="40"/>
      </w:pPr>
      <w:r>
        <w:rPr>
          <w:rFonts w:ascii="Arial" w:cs="Arial" w:eastAsia="Arial" w:hAnsi="Arial"/>
          <w:b w:val="false"/>
          <w:bCs w:val="false"/>
          <w:color w:val="1A1A1A"/>
          <w:sz w:val="20"/>
          <w:szCs w:val="20"/>
        </w:rPr>
        <w:t xml:space="preserve">BMBE eligibility — asset threshold and ring-fencing option</w:t>
      </w:r>
    </w:p>
    <w:p>
      <w:pPr>
        <w:pStyle w:val="ListParagraph"/>
        <w:numPr>
          <w:ilvl w:val="0"/>
          <w:numId w:val="2"/>
        </w:numPr>
        <w:spacing w:before="40" w:after="40"/>
      </w:pPr>
      <w:r>
        <w:rPr>
          <w:rFonts w:ascii="Arial" w:cs="Arial" w:eastAsia="Arial" w:hAnsi="Arial"/>
          <w:b w:val="false"/>
          <w:bCs w:val="false"/>
          <w:color w:val="1A1A1A"/>
          <w:sz w:val="20"/>
          <w:szCs w:val="20"/>
        </w:rPr>
        <w:t xml:space="preserve">BOI ITH — CREATE Act incentives, priority sector eligibility</w:t>
      </w:r>
    </w:p>
    <w:p>
      <w:pPr>
        <w:pStyle w:val="ListParagraph"/>
        <w:numPr>
          <w:ilvl w:val="0"/>
          <w:numId w:val="2"/>
        </w:numPr>
        <w:spacing w:before="40" w:after="40"/>
      </w:pPr>
      <w:r>
        <w:rPr>
          <w:rFonts w:ascii="Arial" w:cs="Arial" w:eastAsia="Arial" w:hAnsi="Arial"/>
          <w:b w:val="false"/>
          <w:bCs w:val="false"/>
          <w:color w:val="1A1A1A"/>
          <w:sz w:val="20"/>
          <w:szCs w:val="20"/>
        </w:rPr>
        <w:t xml:space="preserve">De minimis benefits list with current BIR limits</w:t>
      </w:r>
    </w:p>
    <w:p>
      <w:pPr>
        <w:pStyle w:val="ListParagraph"/>
        <w:numPr>
          <w:ilvl w:val="0"/>
          <w:numId w:val="2"/>
        </w:numPr>
        <w:spacing w:before="40" w:after="40"/>
      </w:pPr>
      <w:r>
        <w:rPr>
          <w:rFonts w:ascii="Arial" w:cs="Arial" w:eastAsia="Arial" w:hAnsi="Arial"/>
          <w:b w:val="false"/>
          <w:bCs w:val="false"/>
          <w:color w:val="1A1A1A"/>
          <w:sz w:val="20"/>
          <w:szCs w:val="20"/>
        </w:rPr>
        <w:t xml:space="preserve">BIR compliance calendar — monthly, quarterly, annual obligations</w:t>
      </w:r>
    </w:p>
    <w:p>
      <w:pPr>
        <w:spacing w:before="80" w:after="80"/>
      </w:pPr>
      <w:r>
        <w:t xml:space="preserve"/>
      </w:r>
    </w:p>
    <w:p>
      <w:pPr>
        <w:pStyle w:val="Heading2"/>
        <w:spacing w:before="280" w:after="100"/>
      </w:pPr>
      <w:r>
        <w:rPr>
          <w:rFonts w:ascii="Arial" w:cs="Arial" w:eastAsia="Arial" w:hAnsi="Arial"/>
          <w:b/>
          <w:bCs/>
          <w:color w:val="4A7C59"/>
          <w:sz w:val="26"/>
          <w:szCs w:val="26"/>
        </w:rPr>
        <w:t xml:space="preserve">6.3 New Page: /ops/corridor</w:t>
      </w:r>
    </w:p>
    <w:p>
      <w:pPr>
        <w:spacing w:before="60" w:after="60"/>
      </w:pPr>
      <w:r>
        <w:rPr>
          <w:rFonts w:ascii="Arial" w:cs="Arial" w:eastAsia="Arial" w:hAnsi="Arial"/>
          <w:b w:val="false"/>
          <w:bCs w:val="false"/>
          <w:color w:val="1A1A1A"/>
          <w:sz w:val="20"/>
          <w:szCs w:val="20"/>
        </w:rPr>
        <w:t xml:space="preserve">Dedicated corridor strategy ops page for staff use.</w:t>
      </w:r>
    </w:p>
    <w:p>
      <w:pPr>
        <w:pStyle w:val="ListParagraph"/>
        <w:numPr>
          <w:ilvl w:val="0"/>
          <w:numId w:val="2"/>
        </w:numPr>
        <w:spacing w:before="40" w:after="40"/>
      </w:pPr>
      <w:r>
        <w:rPr>
          <w:rFonts w:ascii="Arial" w:cs="Arial" w:eastAsia="Arial" w:hAnsi="Arial"/>
          <w:b w:val="false"/>
          <w:bCs w:val="false"/>
          <w:color w:val="1A1A1A"/>
          <w:sz w:val="20"/>
          <w:szCs w:val="20"/>
        </w:rPr>
        <w:t xml:space="preserve">The ring road — 170km circuit, two trucks, opposite directions, why</w:t>
      </w:r>
    </w:p>
    <w:p>
      <w:pPr>
        <w:pStyle w:val="ListParagraph"/>
        <w:numPr>
          <w:ilvl w:val="0"/>
          <w:numId w:val="2"/>
        </w:numPr>
        <w:spacing w:before="40" w:after="40"/>
      </w:pPr>
      <w:r>
        <w:rPr>
          <w:rFonts w:ascii="Arial" w:cs="Arial" w:eastAsia="Arial" w:hAnsi="Arial"/>
          <w:b w:val="false"/>
          <w:bCs w:val="false"/>
          <w:color w:val="1A1A1A"/>
          <w:sz w:val="20"/>
          <w:szCs w:val="20"/>
        </w:rPr>
        <w:t xml:space="preserve">Daily cycle schedule — Truck A (reefer) and Truck B (hauler) departure times, stops, return</w:t>
      </w:r>
    </w:p>
    <w:p>
      <w:pPr>
        <w:pStyle w:val="ListParagraph"/>
        <w:numPr>
          <w:ilvl w:val="0"/>
          <w:numId w:val="2"/>
        </w:numPr>
        <w:spacing w:before="40" w:after="40"/>
      </w:pPr>
      <w:r>
        <w:rPr>
          <w:rFonts w:ascii="Arial" w:cs="Arial" w:eastAsia="Arial" w:hAnsi="Arial"/>
          <w:b w:val="false"/>
          <w:bCs w:val="false"/>
          <w:color w:val="1A1A1A"/>
          <w:sz w:val="20"/>
          <w:szCs w:val="20"/>
        </w:rPr>
        <w:t xml:space="preserve">Satellite container locations and catchment areas — Ragay HQ, Lupi, Sipocot, Santa Elena, Labo, Daet</w:t>
      </w:r>
    </w:p>
    <w:p>
      <w:pPr>
        <w:pStyle w:val="ListParagraph"/>
        <w:numPr>
          <w:ilvl w:val="0"/>
          <w:numId w:val="2"/>
        </w:numPr>
        <w:spacing w:before="40" w:after="40"/>
      </w:pPr>
      <w:r>
        <w:rPr>
          <w:rFonts w:ascii="Arial" w:cs="Arial" w:eastAsia="Arial" w:hAnsi="Arial"/>
          <w:b w:val="false"/>
          <w:bCs w:val="false"/>
          <w:color w:val="1A1A1A"/>
          <w:sz w:val="20"/>
          <w:szCs w:val="20"/>
        </w:rPr>
        <w:t xml:space="preserve">Station manager role, responsibilities, compensation structure</w:t>
      </w:r>
    </w:p>
    <w:p>
      <w:pPr>
        <w:pStyle w:val="ListParagraph"/>
        <w:numPr>
          <w:ilvl w:val="0"/>
          <w:numId w:val="2"/>
        </w:numPr>
        <w:spacing w:before="40" w:after="40"/>
      </w:pPr>
      <w:r>
        <w:rPr>
          <w:rFonts w:ascii="Arial" w:cs="Arial" w:eastAsia="Arial" w:hAnsi="Arial"/>
          <w:b w:val="false"/>
          <w:bCs w:val="false"/>
          <w:color w:val="1A1A1A"/>
          <w:sz w:val="20"/>
          <w:szCs w:val="20"/>
        </w:rPr>
        <w:t xml:space="preserve">Cashless principle — no cash at any container, all GCash or Bambis credit, no exceptions</w:t>
      </w:r>
    </w:p>
    <w:p>
      <w:pPr>
        <w:pStyle w:val="ListParagraph"/>
        <w:numPr>
          <w:ilvl w:val="0"/>
          <w:numId w:val="2"/>
        </w:numPr>
        <w:spacing w:before="40" w:after="40"/>
      </w:pPr>
      <w:r>
        <w:rPr>
          <w:rFonts w:ascii="Arial" w:cs="Arial" w:eastAsia="Arial" w:hAnsi="Arial"/>
          <w:b w:val="false"/>
          <w:bCs w:val="false"/>
          <w:color w:val="1A1A1A"/>
          <w:sz w:val="20"/>
          <w:szCs w:val="20"/>
        </w:rPr>
        <w:t xml:space="preserve">Weekly pricing process — how produce prices are set Sunday evening for the coming week</w:t>
      </w:r>
    </w:p>
    <w:p>
      <w:pPr>
        <w:pStyle w:val="ListParagraph"/>
        <w:numPr>
          <w:ilvl w:val="0"/>
          <w:numId w:val="2"/>
        </w:numPr>
        <w:spacing w:before="40" w:after="40"/>
      </w:pPr>
      <w:r>
        <w:rPr>
          <w:rFonts w:ascii="Arial" w:cs="Arial" w:eastAsia="Arial" w:hAnsi="Arial"/>
          <w:b w:val="false"/>
          <w:bCs w:val="false"/>
          <w:color w:val="1A1A1A"/>
          <w:sz w:val="20"/>
          <w:szCs w:val="20"/>
        </w:rPr>
        <w:t xml:space="preserve">Model 1 (Buy, Process &amp; Return) and Model 2 (Contract Growing) — staff explanation with farmer steps</w:t>
      </w:r>
    </w:p>
    <w:p>
      <w:pPr>
        <w:pStyle w:val="ListParagraph"/>
        <w:numPr>
          <w:ilvl w:val="0"/>
          <w:numId w:val="2"/>
        </w:numPr>
        <w:spacing w:before="40" w:after="40"/>
      </w:pPr>
      <w:r>
        <w:rPr>
          <w:rFonts w:ascii="Arial" w:cs="Arial" w:eastAsia="Arial" w:hAnsi="Arial"/>
          <w:b w:val="false"/>
          <w:bCs w:val="false"/>
          <w:color w:val="1A1A1A"/>
          <w:sz w:val="20"/>
          <w:szCs w:val="20"/>
        </w:rPr>
        <w:t xml:space="preserve">Disaster resilience — dual highway routes, what to do when one closes, sea access option</w:t>
      </w:r>
    </w:p>
    <w:p>
      <w:pPr>
        <w:spacing w:before="80" w:after="80"/>
      </w:pPr>
      <w:r>
        <w:t xml:space="preserve"/>
      </w:r>
    </w:p>
    <w:p>
      <w:pPr>
        <w:pStyle w:val="Heading2"/>
        <w:spacing w:before="280" w:after="100"/>
      </w:pPr>
      <w:r>
        <w:rPr>
          <w:rFonts w:ascii="Arial" w:cs="Arial" w:eastAsia="Arial" w:hAnsi="Arial"/>
          <w:b/>
          <w:bCs/>
          <w:color w:val="4A7C59"/>
          <w:sz w:val="26"/>
          <w:szCs w:val="26"/>
        </w:rPr>
        <w:t xml:space="preserve">6.4 Update: /ops/finance</w:t>
      </w:r>
    </w:p>
    <w:p>
      <w:pPr>
        <w:spacing w:before="200" w:after="80"/>
      </w:pPr>
      <w:r>
        <w:rPr>
          <w:rFonts w:ascii="Arial" w:cs="Arial" w:eastAsia="Arial" w:hAnsi="Arial"/>
          <w:b/>
          <w:bCs/>
          <w:color w:val="00B0B0"/>
          <w:sz w:val="22"/>
          <w:szCs w:val="22"/>
        </w:rPr>
        <w:t xml:space="preserve">Fill OPEX target TBC fields:</w:t>
      </w:r>
    </w:p>
    <w:p>
      <w:pPr>
        <w:pStyle w:val="ListParagraph"/>
        <w:numPr>
          <w:ilvl w:val="0"/>
          <w:numId w:val="2"/>
        </w:numPr>
        <w:spacing w:before="40" w:after="40"/>
      </w:pPr>
      <w:r>
        <w:rPr>
          <w:rFonts w:ascii="Arial" w:cs="Arial" w:eastAsia="Arial" w:hAnsi="Arial"/>
          <w:b w:val="false"/>
          <w:bCs w:val="false"/>
          <w:color w:val="1A1A1A"/>
          <w:sz w:val="20"/>
          <w:szCs w:val="20"/>
        </w:rPr>
        <w:t xml:space="preserve">Panaderia: Baker wages ₱15,000/mo + assistant ₱7,000/mo + ingredients ₱35,000/mo + packaging ₱8,000/mo + power ₱6,500/mo</w:t>
      </w:r>
    </w:p>
    <w:p>
      <w:pPr>
        <w:pStyle w:val="ListParagraph"/>
        <w:numPr>
          <w:ilvl w:val="0"/>
          <w:numId w:val="2"/>
        </w:numPr>
        <w:spacing w:before="40" w:after="40"/>
      </w:pPr>
      <w:r>
        <w:rPr>
          <w:rFonts w:ascii="Arial" w:cs="Arial" w:eastAsia="Arial" w:hAnsi="Arial"/>
          <w:b w:val="false"/>
          <w:bCs w:val="false"/>
          <w:color w:val="1A1A1A"/>
          <w:sz w:val="20"/>
          <w:szCs w:val="20"/>
        </w:rPr>
        <w:t xml:space="preserve">Livestock: Herder wages + vet + slaughter fees — confirm with Aido on arrival</w:t>
      </w:r>
    </w:p>
    <w:p>
      <w:pPr>
        <w:pStyle w:val="ListParagraph"/>
        <w:numPr>
          <w:ilvl w:val="0"/>
          <w:numId w:val="2"/>
        </w:numPr>
        <w:spacing w:before="40" w:after="40"/>
      </w:pPr>
      <w:r>
        <w:rPr>
          <w:rFonts w:ascii="Arial" w:cs="Arial" w:eastAsia="Arial" w:hAnsi="Arial"/>
          <w:b w:val="false"/>
          <w:bCs w:val="false"/>
          <w:color w:val="1A1A1A"/>
          <w:sz w:val="20"/>
          <w:szCs w:val="20"/>
        </w:rPr>
        <w:t xml:space="preserve">Circuit trucks: Fuel based on 170km daily × 2 trucks × 25 days/month + 20% maintenance buffer</w:t>
      </w:r>
    </w:p>
    <w:p>
      <w:pPr>
        <w:spacing w:before="80" w:after="80"/>
      </w:pPr>
      <w:r>
        <w:t xml:space="preserve"/>
      </w:r>
    </w:p>
    <w:p>
      <w:pPr>
        <w:spacing w:before="200" w:after="80"/>
      </w:pPr>
      <w:r>
        <w:rPr>
          <w:rFonts w:ascii="Arial" w:cs="Arial" w:eastAsia="Arial" w:hAnsi="Arial"/>
          <w:b/>
          <w:bCs/>
          <w:color w:val="00B0B0"/>
          <w:sz w:val="22"/>
          <w:szCs w:val="22"/>
        </w:rPr>
        <w:t xml:space="preserve">Add to revenue streams table:</w:t>
      </w:r>
    </w:p>
    <w:p>
      <w:pPr>
        <w:pStyle w:val="ListParagraph"/>
        <w:numPr>
          <w:ilvl w:val="0"/>
          <w:numId w:val="2"/>
        </w:numPr>
        <w:spacing w:before="40" w:after="40"/>
      </w:pPr>
      <w:r>
        <w:rPr>
          <w:rFonts w:ascii="Arial" w:cs="Arial" w:eastAsia="Arial" w:hAnsi="Arial"/>
          <w:b w:val="false"/>
          <w:bCs w:val="false"/>
          <w:color w:val="1A1A1A"/>
          <w:sz w:val="20"/>
          <w:szCs w:val="20"/>
        </w:rPr>
        <w:t xml:space="preserve">Satellite container revenue tracking — each container as a sub-spoke with its own EOD report</w:t>
      </w:r>
    </w:p>
    <w:p>
      <w:pPr>
        <w:pStyle w:val="ListParagraph"/>
        <w:numPr>
          <w:ilvl w:val="0"/>
          <w:numId w:val="2"/>
        </w:numPr>
        <w:spacing w:before="40" w:after="40"/>
      </w:pPr>
      <w:r>
        <w:rPr>
          <w:rFonts w:ascii="Arial" w:cs="Arial" w:eastAsia="Arial" w:hAnsi="Arial"/>
          <w:b w:val="false"/>
          <w:bCs w:val="false"/>
          <w:color w:val="1A1A1A"/>
          <w:sz w:val="20"/>
          <w:szCs w:val="20"/>
        </w:rPr>
        <w:t xml:space="preserve">Circuit commercial accounts as a separate line from hub walk-in retail</w:t>
      </w:r>
    </w:p>
    <w:p>
      <w:pPr>
        <w:pStyle w:val="ListParagraph"/>
        <w:numPr>
          <w:ilvl w:val="0"/>
          <w:numId w:val="2"/>
        </w:numPr>
        <w:spacing w:before="40" w:after="40"/>
      </w:pPr>
      <w:r>
        <w:rPr>
          <w:rFonts w:ascii="Arial" w:cs="Arial" w:eastAsia="Arial" w:hAnsi="Arial"/>
          <w:b w:val="false"/>
          <w:bCs w:val="false"/>
          <w:color w:val="1A1A1A"/>
          <w:sz w:val="20"/>
          <w:szCs w:val="20"/>
        </w:rPr>
        <w:t xml:space="preserve">Model 1 and Model 2 revenue lines</w:t>
      </w:r>
    </w:p>
    <w:p>
      <w:pPr>
        <w:spacing w:before="80" w:after="80"/>
      </w:pPr>
      <w:r>
        <w:t xml:space="preserve"/>
      </w:r>
    </w:p>
    <w:p>
      <w:pPr>
        <w:pStyle w:val="Heading2"/>
        <w:spacing w:before="280" w:after="100"/>
      </w:pPr>
      <w:r>
        <w:rPr>
          <w:rFonts w:ascii="Arial" w:cs="Arial" w:eastAsia="Arial" w:hAnsi="Arial"/>
          <w:b/>
          <w:bCs/>
          <w:color w:val="4A7C59"/>
          <w:sz w:val="26"/>
          <w:szCs w:val="26"/>
        </w:rPr>
        <w:t xml:space="preserve">6.5 Update: /ops/wheel</w:t>
      </w:r>
    </w:p>
    <w:p>
      <w:pPr>
        <w:spacing w:before="60" w:after="60"/>
      </w:pPr>
      <w:r>
        <w:rPr>
          <w:rFonts w:ascii="Arial" w:cs="Arial" w:eastAsia="Arial" w:hAnsi="Arial"/>
          <w:b w:val="false"/>
          <w:bCs w:val="false"/>
          <w:color w:val="1A1A1A"/>
          <w:sz w:val="20"/>
          <w:szCs w:val="20"/>
        </w:rPr>
        <w:t xml:space="preserve">Add a section at the bottom of the wagon wheel document titled The Market Opportunity. Include a brief summary: 350,000–500,000 people, zero organised local competition, 30% capture target and what it means in revenue terms. Staff reading the vision document should understand the scale of what they are building.</w:t>
      </w:r>
    </w:p>
    <w:p>
      <w:pPr>
        <w:spacing w:before="80" w:after="80"/>
      </w:pPr>
      <w:r>
        <w:t xml:space="preserve"/>
      </w:r>
    </w:p>
    <w:p>
      <w:pPr>
        <w:pStyle w:val="Heading2"/>
        <w:spacing w:before="280" w:after="100"/>
      </w:pPr>
      <w:r>
        <w:rPr>
          <w:rFonts w:ascii="Arial" w:cs="Arial" w:eastAsia="Arial" w:hAnsi="Arial"/>
          <w:b/>
          <w:bCs/>
          <w:color w:val="4A7C59"/>
          <w:sz w:val="26"/>
          <w:szCs w:val="26"/>
        </w:rPr>
        <w:t xml:space="preserve">6.6 POS Item Database — Add Panaderia Items</w:t>
      </w:r>
    </w:p>
    <w:p>
      <w:pPr>
        <w:spacing w:before="60" w:after="60"/>
      </w:pPr>
      <w:r>
        <w:rPr>
          <w:rFonts w:ascii="Arial" w:cs="Arial" w:eastAsia="Arial" w:hAnsi="Arial"/>
          <w:b w:val="false"/>
          <w:bCs w:val="false"/>
          <w:color w:val="1A1A1A"/>
          <w:sz w:val="20"/>
          <w:szCs w:val="20"/>
        </w:rPr>
        <w:t xml:space="preserve">The following items need to be added to the item database under the Panaderia spoke:</w:t>
      </w:r>
    </w:p>
    <w:p>
      <w:pPr>
        <w:pStyle w:val="ListParagraph"/>
        <w:numPr>
          <w:ilvl w:val="0"/>
          <w:numId w:val="2"/>
        </w:numPr>
        <w:spacing w:before="40" w:after="40"/>
      </w:pPr>
      <w:r>
        <w:rPr>
          <w:rFonts w:ascii="Arial" w:cs="Arial" w:eastAsia="Arial" w:hAnsi="Arial"/>
          <w:b w:val="false"/>
          <w:bCs w:val="false"/>
          <w:color w:val="1A1A1A"/>
          <w:sz w:val="20"/>
          <w:szCs w:val="20"/>
        </w:rPr>
        <w:t xml:space="preserve">Pan de sal, Pan de sal large, Ensaymada, Monay, Putok</w:t>
      </w:r>
    </w:p>
    <w:p>
      <w:pPr>
        <w:pStyle w:val="ListParagraph"/>
        <w:numPr>
          <w:ilvl w:val="0"/>
          <w:numId w:val="2"/>
        </w:numPr>
        <w:spacing w:before="40" w:after="40"/>
      </w:pPr>
      <w:r>
        <w:rPr>
          <w:rFonts w:ascii="Arial" w:cs="Arial" w:eastAsia="Arial" w:hAnsi="Arial"/>
          <w:b w:val="false"/>
          <w:bCs w:val="false"/>
          <w:color w:val="1A1A1A"/>
          <w:sz w:val="20"/>
          <w:szCs w:val="20"/>
        </w:rPr>
        <w:t xml:space="preserve">Pandesal filled — 4 variants: cheese, ube, mongo, corned beef</w:t>
      </w:r>
    </w:p>
    <w:p>
      <w:pPr>
        <w:pStyle w:val="ListParagraph"/>
        <w:numPr>
          <w:ilvl w:val="0"/>
          <w:numId w:val="2"/>
        </w:numPr>
        <w:spacing w:before="40" w:after="40"/>
      </w:pPr>
      <w:r>
        <w:rPr>
          <w:rFonts w:ascii="Arial" w:cs="Arial" w:eastAsia="Arial" w:hAnsi="Arial"/>
          <w:b w:val="false"/>
          <w:bCs w:val="false"/>
          <w:color w:val="1A1A1A"/>
          <w:sz w:val="20"/>
          <w:szCs w:val="20"/>
        </w:rPr>
        <w:t xml:space="preserve">Tinapay / loaf bread, Turkish bread, Pane di casa loaf</w:t>
      </w:r>
    </w:p>
    <w:p>
      <w:pPr>
        <w:pStyle w:val="ListParagraph"/>
        <w:numPr>
          <w:ilvl w:val="0"/>
          <w:numId w:val="2"/>
        </w:numPr>
        <w:spacing w:before="40" w:after="40"/>
      </w:pPr>
      <w:r>
        <w:rPr>
          <w:rFonts w:ascii="Arial" w:cs="Arial" w:eastAsia="Arial" w:hAnsi="Arial"/>
          <w:b w:val="false"/>
          <w:bCs w:val="false"/>
          <w:color w:val="1A1A1A"/>
          <w:sz w:val="20"/>
          <w:szCs w:val="20"/>
        </w:rPr>
        <w:t xml:space="preserve">Classic Beef Pie, Beef &amp; Mushroom Pie, Chicken &amp; Veg Pie, Pork &amp; Chilli Pie</w:t>
      </w:r>
    </w:p>
    <w:p>
      <w:pPr>
        <w:pStyle w:val="ListParagraph"/>
        <w:numPr>
          <w:ilvl w:val="0"/>
          <w:numId w:val="2"/>
        </w:numPr>
        <w:spacing w:before="40" w:after="40"/>
      </w:pPr>
      <w:r>
        <w:rPr>
          <w:rFonts w:ascii="Arial" w:cs="Arial" w:eastAsia="Arial" w:hAnsi="Arial"/>
          <w:b w:val="false"/>
          <w:bCs w:val="false"/>
          <w:color w:val="1A1A1A"/>
          <w:sz w:val="20"/>
          <w:szCs w:val="20"/>
        </w:rPr>
        <w:t xml:space="preserve">Goat Caldereta Pie, Egg &amp; Bacon Pie, Pie Floater (café only), Family Pie 6-serve</w:t>
      </w:r>
    </w:p>
    <w:p>
      <w:pPr>
        <w:pStyle w:val="ListParagraph"/>
        <w:numPr>
          <w:ilvl w:val="0"/>
          <w:numId w:val="2"/>
        </w:numPr>
        <w:spacing w:before="40" w:after="40"/>
      </w:pPr>
      <w:r>
        <w:rPr>
          <w:rFonts w:ascii="Arial" w:cs="Arial" w:eastAsia="Arial" w:hAnsi="Arial"/>
          <w:b w:val="false"/>
          <w:bCs w:val="false"/>
          <w:color w:val="1A1A1A"/>
          <w:sz w:val="20"/>
          <w:szCs w:val="20"/>
        </w:rPr>
        <w:t xml:space="preserve">Pizza — made to order (pricing structure: base price + toppings selection)</w:t>
      </w:r>
    </w:p>
    <w:p>
      <w:pPr>
        <w:pStyle w:val="ListParagraph"/>
        <w:numPr>
          <w:ilvl w:val="0"/>
          <w:numId w:val="2"/>
        </w:numPr>
        <w:spacing w:before="40" w:after="40"/>
      </w:pPr>
      <w:r>
        <w:rPr>
          <w:rFonts w:ascii="Arial" w:cs="Arial" w:eastAsia="Arial" w:hAnsi="Arial"/>
          <w:b w:val="false"/>
          <w:bCs w:val="false"/>
          <w:color w:val="1A1A1A"/>
          <w:sz w:val="20"/>
          <w:szCs w:val="20"/>
        </w:rPr>
        <w:t xml:space="preserve">Banana bread slice, Ube pandesal, Leche flan, Cheese danish, Puto, Bibingka (seasonal), Croissant</w:t>
      </w:r>
    </w:p>
    <w:p>
      <w:pPr>
        <w:spacing w:before="80" w:after="80"/>
      </w:pPr>
      <w:r>
        <w:t xml:space="preserve"/>
      </w:r>
    </w:p>
    <w:p>
      <w:r>
        <w:br/>
      </w:r>
    </w:p>
    <w:p>
      <w:pPr>
        <w:pStyle w:val="Heading1"/>
        <w:spacing w:before="360" w:after="120"/>
      </w:pPr>
      <w:r>
        <w:rPr>
          <w:rFonts w:ascii="Arial" w:cs="Arial" w:eastAsia="Arial" w:hAnsi="Arial"/>
          <w:b/>
          <w:bCs/>
          <w:color w:val="2E5238"/>
          <w:sz w:val="32"/>
          <w:szCs w:val="32"/>
        </w:rPr>
        <w:t xml:space="preserve">7. Key Decisions — This Session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4A7C59" w:val="clear"/>
            <w:tcMar>
              <w:top w:type="dxa" w:w="80"/>
              <w:left w:type="dxa" w:w="120"/>
              <w:bottom w:type="dxa" w:w="80"/>
              <w:right w:type="dxa" w:w="120"/>
            </w:tcMar>
          </w:tcPr>
          <w:p>
            <w:r>
              <w:rPr>
                <w:rFonts w:ascii="Arial" w:cs="Arial" w:eastAsia="Arial" w:hAnsi="Arial"/>
                <w:b/>
                <w:bCs/>
                <w:color w:val="FFFFFF"/>
                <w:sz w:val="19"/>
                <w:szCs w:val="19"/>
              </w:rPr>
              <w:t xml:space="preserve">Decision</w:t>
            </w:r>
          </w:p>
        </w:tc>
        <w:tc>
          <w:tcPr>
            <w:tcW w:type="dxa" w:w="4680"/>
            <w:tcBorders>
              <w:top w:val="single" w:color="CCCCCC" w:sz="1"/>
              <w:left w:val="single" w:color="CCCCCC" w:sz="1"/>
              <w:bottom w:val="single" w:color="CCCCCC" w:sz="1"/>
              <w:right w:val="single" w:color="CCCCCC" w:sz="1"/>
            </w:tcBorders>
            <w:shd w:fill="4A7C59" w:val="clear"/>
            <w:tcMar>
              <w:top w:type="dxa" w:w="80"/>
              <w:left w:type="dxa" w:w="120"/>
              <w:bottom w:type="dxa" w:w="80"/>
              <w:right w:type="dxa" w:w="120"/>
            </w:tcMar>
          </w:tcPr>
          <w:p>
            <w:r>
              <w:rPr>
                <w:rFonts w:ascii="Arial" w:cs="Arial" w:eastAsia="Arial" w:hAnsi="Arial"/>
                <w:b/>
                <w:bCs/>
                <w:color w:val="FFFFFF"/>
                <w:sz w:val="19"/>
                <w:szCs w:val="19"/>
              </w:rPr>
              <w:t xml:space="preserve">Outcome</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Panaderia model</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Own and operate. Not vendor. Wood fired dome (feature) + deck ovens (production).</w:t>
            </w:r>
          </w:p>
        </w:tc>
      </w:tr>
      <w:tr>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9"/>
                <w:szCs w:val="19"/>
              </w:rPr>
              <w:t xml:space="preserve">Pizza model</w:t>
            </w:r>
          </w:p>
        </w:tc>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Made to order, customer picks toppings. Three channels: outdoor casual, café via dumbwaiter, circuit distribution.</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Deliveries spoke</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Not a revenue spoke. Logistics infrastructure only. No subscription boxes.</w:t>
            </w:r>
          </w:p>
        </w:tc>
      </w:tr>
      <w:tr>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9"/>
                <w:szCs w:val="19"/>
              </w:rPr>
              <w:t xml:space="preserve">Slaughter model</w:t>
            </w:r>
          </w:p>
        </w:tc>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Local licensed abattoir. No Bambis kill floor. Slaughter fee is COGS.</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Daet butcher shop</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Does not exist. Error in earlier dashboards. One butcher at Ragay/F. Simeon hub only.</w:t>
            </w:r>
          </w:p>
        </w:tc>
      </w:tr>
      <w:tr>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9"/>
                <w:szCs w:val="19"/>
              </w:rPr>
              <w:t xml:space="preserve">COGS rate</w:t>
            </w:r>
          </w:p>
        </w:tc>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~16% blended. Not 35%. Vertically integrated model changes everything.</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Hub build timing</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All at once once title confirmed. Poultry at Agrupacion bridges cash during title process.</w:t>
            </w:r>
          </w:p>
        </w:tc>
      </w:tr>
      <w:tr>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9"/>
                <w:szCs w:val="19"/>
              </w:rPr>
              <w:t xml:space="preserve">Revenue scale</w:t>
            </w:r>
          </w:p>
        </w:tc>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Year 1 at 5% corridor capture = ₱50–55M. Previous ₱17M was modelling ~25% of the business.</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Feeds spoke revenue</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TBC pending wholesale price, collection point, and local sale price data. Mill equipment in Stage 1 if possible.</w:t>
            </w:r>
          </w:p>
        </w:tc>
      </w:tr>
    </w:tbl>
    <w:p>
      <w:pPr>
        <w:spacing w:before="80" w:after="80"/>
      </w:pPr>
      <w:r>
        <w:t xml:space="preserve"/>
      </w:r>
    </w:p>
    <w:p>
      <w:pPr>
        <w:pStyle w:val="Heading1"/>
        <w:spacing w:before="360" w:after="120"/>
      </w:pPr>
      <w:r>
        <w:rPr>
          <w:rFonts w:ascii="Arial" w:cs="Arial" w:eastAsia="Arial" w:hAnsi="Arial"/>
          <w:b/>
          <w:bCs/>
          <w:color w:val="2E5238"/>
          <w:sz w:val="32"/>
          <w:szCs w:val="32"/>
        </w:rPr>
        <w:t xml:space="preserve">8. Open Items — Action Required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4A7C59" w:val="clear"/>
            <w:tcMar>
              <w:top w:type="dxa" w:w="80"/>
              <w:left w:type="dxa" w:w="120"/>
              <w:bottom w:type="dxa" w:w="80"/>
              <w:right w:type="dxa" w:w="120"/>
            </w:tcMar>
          </w:tcPr>
          <w:p>
            <w:r>
              <w:rPr>
                <w:rFonts w:ascii="Arial" w:cs="Arial" w:eastAsia="Arial" w:hAnsi="Arial"/>
                <w:b/>
                <w:bCs/>
                <w:color w:val="FFFFFF"/>
                <w:sz w:val="19"/>
                <w:szCs w:val="19"/>
              </w:rPr>
              <w:t xml:space="preserve">Item</w:t>
            </w:r>
          </w:p>
        </w:tc>
        <w:tc>
          <w:tcPr>
            <w:tcW w:type="dxa" w:w="4680"/>
            <w:tcBorders>
              <w:top w:val="single" w:color="CCCCCC" w:sz="1"/>
              <w:left w:val="single" w:color="CCCCCC" w:sz="1"/>
              <w:bottom w:val="single" w:color="CCCCCC" w:sz="1"/>
              <w:right w:val="single" w:color="CCCCCC" w:sz="1"/>
            </w:tcBorders>
            <w:shd w:fill="4A7C59" w:val="clear"/>
            <w:tcMar>
              <w:top w:type="dxa" w:w="80"/>
              <w:left w:type="dxa" w:w="120"/>
              <w:bottom w:type="dxa" w:w="80"/>
              <w:right w:type="dxa" w:w="120"/>
            </w:tcMar>
          </w:tcPr>
          <w:p>
            <w:r>
              <w:rPr>
                <w:rFonts w:ascii="Arial" w:cs="Arial" w:eastAsia="Arial" w:hAnsi="Arial"/>
                <w:b/>
                <w:bCs/>
                <w:color w:val="FFFFFF"/>
                <w:sz w:val="19"/>
                <w:szCs w:val="19"/>
              </w:rPr>
              <w:t xml:space="preserve">Who / When</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Pugod/F. Simeon estate title — multiple heirs, estate tax</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Aileen + lawyer. Priority before any slab is poured.</w:t>
            </w:r>
          </w:p>
        </w:tc>
      </w:tr>
      <w:tr>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9"/>
                <w:szCs w:val="19"/>
              </w:rPr>
              <w:t xml:space="preserve">CPA appointment — BIR registration, BMBE/BOI eligibility</w:t>
            </w:r>
          </w:p>
        </w:tc>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Before trading begins. Not optional.</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Isuzu fleet letter — add Aileen's email and mobile, send to Henson Cantre</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Aileen.</w:t>
            </w:r>
          </w:p>
        </w:tc>
      </w:tr>
      <w:tr>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9"/>
                <w:szCs w:val="19"/>
              </w:rPr>
              <w:t xml:space="preserve">Wholesale feed prices — to confirm margin on redistribution spoke</w:t>
            </w:r>
          </w:p>
        </w:tc>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Aido, first month on the ground.</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Abattoir fee per head — local Ragay rates</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Confirm on arrival.</w:t>
            </w:r>
          </w:p>
        </w:tc>
      </w:tr>
      <w:tr>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9"/>
                <w:szCs w:val="19"/>
              </w:rPr>
              <w:t xml:space="preserve">Wood fired dome oven — 3 mason quotes in Ragay/Naga area</w:t>
            </w:r>
          </w:p>
        </w:tc>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Aido on arrival.</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Deck oven quotes — Naga and Manila suppliers</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Before hub build finalised.</w:t>
            </w:r>
          </w:p>
        </w:tc>
      </w:tr>
      <w:tr>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9"/>
                <w:szCs w:val="19"/>
              </w:rPr>
              <w:t xml:space="preserve">Baker — post locally, ask Bambi, ask the barangay</w:t>
            </w:r>
          </w:p>
        </w:tc>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Aido on arrival. 48 hours to have candidates.</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Panaderia container conversion — add to hub Stage 1 build scope</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Aido, with contractor quotes.</w:t>
            </w:r>
          </w:p>
        </w:tc>
      </w:tr>
      <w:tr>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9"/>
                <w:szCs w:val="19"/>
              </w:rPr>
              <w:t xml:space="preserve">POS item database — add panaderia items from Section 6.6</w:t>
            </w:r>
          </w:p>
        </w:tc>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Code / Aido before opening.</w:t>
            </w:r>
          </w:p>
        </w:tc>
      </w:tr>
    </w:tbl>
    <w:p>
      <w:pPr>
        <w:spacing w:before="80" w:after="80"/>
      </w:pPr>
      <w:r>
        <w:t xml:space="preserve"/>
      </w:r>
    </w:p>
    <w:p>
      <w:pPr>
        <w:pBdr>
          <w:bottom w:val="single" w:color="CCCCCC" w:sz="4"/>
        </w:pBdr>
        <w:spacing w:before="120" w:after="120"/>
      </w:pPr>
      <w:r>
        <w:t xml:space="preserve"/>
      </w:r>
    </w:p>
    <w:p>
      <w:pPr>
        <w:spacing w:before="120" w:after="60"/>
        <w:jc w:val="center"/>
      </w:pPr>
      <w:r>
        <w:rPr>
          <w:rFonts w:ascii="Arial" w:cs="Arial" w:eastAsia="Arial" w:hAnsi="Arial"/>
          <w:b/>
          <w:bCs/>
          <w:color w:val="4A7C59"/>
          <w:sz w:val="18"/>
          <w:szCs w:val="18"/>
        </w:rPr>
        <w:t xml:space="preserve">Nana Bambi's Place  ·  Ragay, Camarines Sur, Bicol, Philippines</w:t>
      </w:r>
    </w:p>
    <w:p>
      <w:pPr>
        <w:spacing w:before="0" w:after="60"/>
        <w:jc w:val="center"/>
      </w:pPr>
      <w:r>
        <w:rPr>
          <w:rFonts w:ascii="Arial" w:cs="Arial" w:eastAsia="Arial" w:hAnsi="Arial"/>
          <w:color w:val="888888"/>
          <w:sz w:val="16"/>
          <w:szCs w:val="16"/>
        </w:rPr>
        <w:t xml:space="preserve">Session handover compiled March 2026  ·  All financial figures are AI-estimated placeholders requiring real CPA and contractor validation</w:t>
      </w:r>
    </w:p>
    <w:p>
      <w:pPr>
        <w:spacing w:before="0" w:after="0"/>
        <w:jc w:val="center"/>
      </w:pPr>
      <w:r>
        <w:rPr>
          <w:rFonts w:ascii="Arial" w:cs="Arial" w:eastAsia="Arial" w:hAnsi="Arial"/>
          <w:color w:val="00B0B0"/>
          <w:sz w:val="16"/>
          <w:szCs w:val="16"/>
        </w:rPr>
        <w:t xml:space="preserve">nana-bambis.netlify.app/ops</w:t>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Nana Bambi's Place  ·  Ragay  ·  Session Handover March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2E5238"/>
      <w:sz w:val="32"/>
      <w:szCs w:val="32"/>
    </w:rPr>
  </w:style>
  <w:style w:type="paragraph" w:styleId="Heading2">
    <w:name w:val="Heading 2"/>
    <w:basedOn w:val="Normal"/>
    <w:next w:val="Normal"/>
    <w:qFormat/>
    <w:pPr>
      <w:spacing w:before="280" w:after="100"/>
      <w:outlineLvl w:val="1"/>
    </w:pPr>
    <w:rPr>
      <w:rFonts w:ascii="Arial" w:cs="Arial" w:eastAsia="Arial" w:hAnsi="Arial"/>
      <w:b/>
      <w:bCs/>
      <w:color w:val="4A7C59"/>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2026-03-14T21:46:22.392Z</dcterms:created>
  <dcterms:modified xsi:type="dcterms:W3CDTF">2026-03-14T21:46:22.393Z</dcterms:modified>
</cp:coreProperties>
</file>

<file path=docProps/custom.xml><?xml version="1.0" encoding="utf-8"?>
<Properties xmlns="http://schemas.openxmlformats.org/officeDocument/2006/custom-properties" xmlns:vt="http://schemas.openxmlformats.org/officeDocument/2006/docPropsVTypes"/>
</file>