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140"/>
        <w:jc w:val="center"/>
      </w:pPr>
      <w:r>
        <w:rPr>
          <w:rFonts w:ascii="Arial" w:cs="Arial" w:eastAsia="Arial" w:hAnsi="Arial"/>
          <w:color w:val="C9A84C"/>
          <w:sz w:val="24"/>
          <w:szCs w:val="24"/>
        </w:rPr>
        <w:t xml:space="preserve">Pahinga · Hinga · Dahan-dahan</w:t>
      </w:r>
    </w:p>
    <w:p>
      <w:pPr>
        <w:spacing w:before="0" w:after="120"/>
        <w:jc w:val="center"/>
      </w:pPr>
      <w:r>
        <w:rPr>
          <w:rFonts w:ascii="Arial" w:cs="Arial" w:eastAsia="Arial" w:hAnsi="Arial"/>
          <w:b/>
          <w:bCs/>
          <w:color w:val="2C4A2E"/>
          <w:sz w:val="60"/>
          <w:szCs w:val="60"/>
        </w:rPr>
        <w:t xml:space="preserve">NANA BAMBI'S</w:t>
      </w:r>
    </w:p>
    <w:p>
      <w:pPr>
        <w:spacing w:before="0" w:after="80"/>
        <w:jc w:val="center"/>
      </w:pPr>
      <w:r>
        <w:rPr>
          <w:rFonts w:ascii="Arial" w:cs="Arial" w:eastAsia="Arial" w:hAnsi="Arial"/>
          <w:b/>
          <w:bCs/>
          <w:color w:val="2C4A2E"/>
          <w:sz w:val="36"/>
          <w:szCs w:val="36"/>
        </w:rPr>
        <w:t xml:space="preserve">Feeds &amp; Supply — Spoke Plan</w:t>
      </w:r>
    </w:p>
    <w:p>
      <w:pPr>
        <w:spacing w:before="0" w:after="360"/>
        <w:jc w:val="center"/>
      </w:pPr>
      <w:r>
        <w:rPr>
          <w:rFonts w:ascii="Arial" w:cs="Arial" w:eastAsia="Arial" w:hAnsi="Arial"/>
          <w:color w:val="555555"/>
          <w:sz w:val="24"/>
          <w:szCs w:val="24"/>
        </w:rPr>
        <w:t xml:space="preserve">The first revenue engine of Nana Bambi's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4"/>
              <w:left w:val="single" w:color="C9A84C" w:sz="6"/>
              <w:bottom w:val="none" w:color="FFFFFF" w:sz="0"/>
              <w:right w:val="none" w:color="FFFFFF" w:sz="0"/>
            </w:tcBorders>
            <w:shd w:fill="FDF6E3" w:val="clear"/>
            <w:tcMar>
              <w:top w:type="dxa" w:w="140"/>
              <w:left w:type="dxa" w:w="220"/>
              <w:bottom w:type="dxa" w:w="140"/>
              <w:right w:type="dxa" w:w="220"/>
            </w:tcMar>
          </w:tcPr>
          <w:p>
            <w:pPr>
              <w:spacing w:before="0" w:after="0"/>
            </w:pPr>
            <w:r>
              <w:rPr>
                <w:rFonts w:ascii="Arial" w:cs="Arial" w:eastAsia="Arial" w:hAnsi="Arial"/>
                <w:color w:val="2C4A2E"/>
                <w:sz w:val="22"/>
                <w:szCs w:val="22"/>
              </w:rPr>
              <w:t xml:space="preserve">Feeds &amp; Supply is the commercial foundation of Nana Bambi's before the café, the market, and the butcher are built. It generates income from Month 3–4, builds farmer relationships that every other spoke depends on, and runs from minimal infrastructure. This document covers how to set it up and run it well.</w:t>
            </w:r>
          </w:p>
        </w:tc>
      </w:tr>
    </w:tbl>
    <w:p>
      <w:pPr>
        <w:spacing w:before="0" w:after="30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4"/>
              <w:left w:val="single" w:color="C9A84C" w:sz="6"/>
              <w:bottom w:val="none" w:color="FFFFFF" w:sz="0"/>
              <w:right w:val="none" w:color="FFFFFF" w:sz="0"/>
            </w:tcBorders>
            <w:shd w:fill="FDF6E3" w:val="clear"/>
            <w:tcMar>
              <w:top w:type="dxa" w:w="140"/>
              <w:left w:type="dxa" w:w="220"/>
              <w:bottom w:type="dxa" w:w="140"/>
              <w:right w:type="dxa" w:w="220"/>
            </w:tcMar>
          </w:tcPr>
          <w:p>
            <w:pPr>
              <w:spacing w:before="0" w:after="0"/>
            </w:pPr>
            <w:r>
              <w:rPr>
                <w:rFonts w:ascii="Arial" w:cs="Arial" w:eastAsia="Arial" w:hAnsi="Arial"/>
                <w:color w:val="2C4A2E"/>
                <w:sz w:val="22"/>
                <w:szCs w:val="22"/>
              </w:rPr>
              <w:t xml:space="preserve">Why Feeds first?</w:t>
            </w:r>
          </w:p>
          <w:p>
            <w:pPr>
              <w:spacing w:before="0" w:after="60"/>
            </w:pPr>
            <w:r>
              <w:rPr>
                <w:rFonts w:ascii="Arial" w:cs="Arial" w:eastAsia="Arial" w:hAnsi="Arial"/>
                <w:color w:val="2C4A2E"/>
                <w:sz w:val="22"/>
                <w:szCs w:val="22"/>
              </w:rPr>
              <w:t xml:space="preserve"/>
            </w:r>
          </w:p>
          <w:p>
            <w:pPr>
              <w:spacing w:before="0" w:after="0"/>
            </w:pPr>
            <w:r>
              <w:rPr>
                <w:rFonts w:ascii="Arial" w:cs="Arial" w:eastAsia="Arial" w:hAnsi="Arial"/>
                <w:color w:val="2C4A2E"/>
                <w:sz w:val="22"/>
                <w:szCs w:val="22"/>
              </w:rPr>
              <w:t xml:space="preserve">Farmers need feed every week. It is a recurring, non-discretionary purchase. If Nana Bambi's supplies reliable stock at fair prices with honest service, farmers come back — and they bring their neighbours.</w:t>
            </w:r>
          </w:p>
          <w:p>
            <w:pPr>
              <w:spacing w:before="0" w:after="60"/>
            </w:pPr>
            <w:r>
              <w:rPr>
                <w:rFonts w:ascii="Arial" w:cs="Arial" w:eastAsia="Arial" w:hAnsi="Arial"/>
                <w:color w:val="2C4A2E"/>
                <w:sz w:val="22"/>
                <w:szCs w:val="22"/>
              </w:rPr>
              <w:t xml:space="preserve"/>
            </w:r>
          </w:p>
          <w:p>
            <w:pPr>
              <w:spacing w:before="0" w:after="0"/>
            </w:pPr>
            <w:r>
              <w:rPr>
                <w:rFonts w:ascii="Arial" w:cs="Arial" w:eastAsia="Arial" w:hAnsi="Arial"/>
                <w:color w:val="2C4A2E"/>
                <w:sz w:val="22"/>
                <w:szCs w:val="22"/>
              </w:rPr>
              <w:t xml:space="preserve">The feeds customer of today is the market supplier, the livestock seller, and the training participant of tomorrow. Every relationship built through feeds is a relationship that feeds every other spoke.</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1.  What We Sell</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2200"/>
        <w:gridCol w:w="2960"/>
      </w:tblGrid>
      <w:tr>
        <w:tc>
          <w:tcPr>
            <w:tcW w:type="dxa" w:w="20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Product</w:t>
            </w:r>
          </w:p>
        </w:tc>
        <w:tc>
          <w:tcPr>
            <w:tcW w:type="dxa" w:w="22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Target Customer</w:t>
            </w:r>
          </w:p>
        </w:tc>
        <w:tc>
          <w:tcPr>
            <w:tcW w:type="dxa" w:w="22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Margin Structure</w:t>
            </w:r>
          </w:p>
        </w:tc>
        <w:tc>
          <w:tcPr>
            <w:tcW w:type="dxa" w:w="29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c>
          <w:tcPr>
            <w:tcW w:type="dxa" w:w="2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Layer mash / pellets</w:t>
            </w:r>
          </w:p>
        </w:tc>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Poultry farmers — backyard and small commercial</w:t>
            </w:r>
          </w:p>
        </w:tc>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₱50–120 margin per 50kg bag</w:t>
            </w:r>
          </w:p>
        </w:tc>
        <w:tc>
          <w:tcPr>
            <w:tcW w:type="dxa" w:w="2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Highest volume line. Consistent weekly demand.</w:t>
            </w:r>
          </w:p>
        </w:tc>
      </w:tr>
      <w:tr>
        <w:tc>
          <w:tcPr>
            <w:tcW w:type="dxa" w:w="2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Broiler starter / finisher</w:t>
            </w:r>
          </w:p>
        </w:tc>
        <w:tc>
          <w:tcPr>
            <w:tcW w:type="dxa" w:w="2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Broiler chicken raisers</w:t>
            </w:r>
          </w:p>
        </w:tc>
        <w:tc>
          <w:tcPr>
            <w:tcW w:type="dxa" w:w="2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₱50–100 per bag</w:t>
            </w:r>
          </w:p>
        </w:tc>
        <w:tc>
          <w:tcPr>
            <w:tcW w:type="dxa" w:w="2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Batch buyers — less consistent than layer feed.</w:t>
            </w:r>
          </w:p>
        </w:tc>
      </w:tr>
      <w:tr>
        <w:tc>
          <w:tcPr>
            <w:tcW w:type="dxa" w:w="2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Hog grower / finisher</w:t>
            </w:r>
          </w:p>
        </w:tc>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Backyard pig raisers</w:t>
            </w:r>
          </w:p>
        </w:tc>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₱60–120 per bag</w:t>
            </w:r>
          </w:p>
        </w:tc>
        <w:tc>
          <w:tcPr>
            <w:tcW w:type="dxa" w:w="2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Common in Bicol. Loyal customers if price is fair.</w:t>
            </w:r>
          </w:p>
        </w:tc>
      </w:tr>
      <w:tr>
        <w:tc>
          <w:tcPr>
            <w:tcW w:type="dxa" w:w="2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Goat / cattle concentrates</w:t>
            </w:r>
          </w:p>
        </w:tc>
        <w:tc>
          <w:tcPr>
            <w:tcW w:type="dxa" w:w="2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Small livestock holders</w:t>
            </w:r>
          </w:p>
        </w:tc>
        <w:tc>
          <w:tcPr>
            <w:tcW w:type="dxa" w:w="2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₱80–150 per bag</w:t>
            </w:r>
          </w:p>
        </w:tc>
        <w:tc>
          <w:tcPr>
            <w:tcW w:type="dxa" w:w="2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Less volume but higher per-unit margin.</w:t>
            </w:r>
          </w:p>
        </w:tc>
      </w:tr>
      <w:tr>
        <w:tc>
          <w:tcPr>
            <w:tcW w:type="dxa" w:w="2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Corn (cracked or whole)</w:t>
            </w:r>
          </w:p>
        </w:tc>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All livestock farmers</w:t>
            </w:r>
          </w:p>
        </w:tc>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₱30–60 per bag or per kilo</w:t>
            </w:r>
          </w:p>
        </w:tc>
        <w:tc>
          <w:tcPr>
            <w:tcW w:type="dxa" w:w="2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Bulk commodity. Volume is key. Store dry.</w:t>
            </w:r>
          </w:p>
        </w:tc>
      </w:tr>
      <w:tr>
        <w:tc>
          <w:tcPr>
            <w:tcW w:type="dxa" w:w="2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Rice bran (darak)</w:t>
            </w:r>
          </w:p>
        </w:tc>
        <w:tc>
          <w:tcPr>
            <w:tcW w:type="dxa" w:w="2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Backyard poultry and pigs</w:t>
            </w:r>
          </w:p>
        </w:tc>
        <w:tc>
          <w:tcPr>
            <w:tcW w:type="dxa" w:w="2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₱20–40 per bag</w:t>
            </w:r>
          </w:p>
        </w:tc>
        <w:tc>
          <w:tcPr>
            <w:tcW w:type="dxa" w:w="2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Very common in rural areas. Low cost, frequent purchase.</w:t>
            </w:r>
          </w:p>
        </w:tc>
      </w:tr>
      <w:tr>
        <w:tc>
          <w:tcPr>
            <w:tcW w:type="dxa" w:w="2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Fishmeal / protein supplements</w:t>
            </w:r>
          </w:p>
        </w:tc>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Serious poultry and livestock growers</w:t>
            </w:r>
          </w:p>
        </w:tc>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₱100–200 per bag</w:t>
            </w:r>
          </w:p>
        </w:tc>
        <w:tc>
          <w:tcPr>
            <w:tcW w:type="dxa" w:w="2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Lower volume, higher value. Builds credibility as a specialist.</w:t>
            </w:r>
          </w:p>
        </w:tc>
      </w:tr>
      <w:tr>
        <w:tc>
          <w:tcPr>
            <w:tcW w:type="dxa" w:w="2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Vitamins / electrolytes</w:t>
            </w:r>
          </w:p>
        </w:tc>
        <w:tc>
          <w:tcPr>
            <w:tcW w:type="dxa" w:w="2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All livestock and poultry farmers</w:t>
            </w:r>
          </w:p>
        </w:tc>
        <w:tc>
          <w:tcPr>
            <w:tcW w:type="dxa" w:w="2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₱50–300 per pack</w:t>
            </w:r>
          </w:p>
        </w:tc>
        <w:tc>
          <w:tcPr>
            <w:tcW w:type="dxa" w:w="2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High margin, low storage requirement. Builds basket size.</w:t>
            </w:r>
          </w:p>
        </w:tc>
      </w:tr>
      <w:tr>
        <w:tc>
          <w:tcPr>
            <w:tcW w:type="dxa" w:w="2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Day-old chicks (future)</w:t>
            </w:r>
          </w:p>
        </w:tc>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Poultry starters — expand when demand is proven</w:t>
            </w:r>
          </w:p>
        </w:tc>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Margin on consignment</w:t>
            </w:r>
          </w:p>
        </w:tc>
        <w:tc>
          <w:tcPr>
            <w:tcW w:type="dxa" w:w="2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Add only once feeds trust is established. Not Month 1.</w:t>
            </w:r>
          </w:p>
        </w:tc>
      </w:tr>
    </w:tbl>
    <w:p>
      <w:pPr>
        <w:spacing w:before="0" w:after="80"/>
      </w:pPr>
      <w:r>
        <w:t xml:space="preserve"/>
      </w:r>
    </w:p>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2.  Pricing Model</w:t>
            </w:r>
          </w:p>
        </w:tc>
      </w:tr>
    </w:tbl>
    <w:p>
      <w:pPr>
        <w:spacing w:before="0" w:after="60"/>
      </w:pPr>
      <w:r>
        <w:t xml:space="preserve"/>
      </w:r>
    </w:p>
    <w:p>
      <w:pPr>
        <w:spacing w:before="60" w:after="60"/>
      </w:pPr>
      <w:r>
        <w:rPr>
          <w:rFonts w:ascii="Arial" w:cs="Arial" w:eastAsia="Arial" w:hAnsi="Arial"/>
          <w:b w:val="false"/>
          <w:bCs w:val="false"/>
          <w:color w:val="111111"/>
          <w:sz w:val="22"/>
          <w:szCs w:val="22"/>
        </w:rPr>
        <w:t xml:space="preserve">The pricing model is simple: buy below wholesale, sell below the nearest competitor, keep the margin consistent.</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Component</w:t>
            </w:r>
          </w:p>
        </w:tc>
        <w:tc>
          <w:tcPr>
            <w:tcW w:type="dxa" w:w="69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Detail</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Wholesale cost</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Price from supplier per bag, delivered to Ragay. This is your floor — never sell below it.</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Target margin</w:t>
            </w:r>
          </w:p>
        </w:tc>
        <w:tc>
          <w:tcPr>
            <w:tcW w:type="dxa" w:w="6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₱50–150 per 50kg bag depending on product. Layer mash is competitive — take less margin for volume. Speciality products — take more.</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Retail price</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Wholesale cost + target margin + any freight component. Check competitor pricing in Naga, Iriga, and Sipocot before setting prices.</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Credit terms to farmers</w:t>
            </w:r>
          </w:p>
        </w:tc>
        <w:tc>
          <w:tcPr>
            <w:tcW w:type="dxa" w:w="6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Cash on pickup for new customers. After 3 consistent orders — offer 7-day credit to trusted regulars. Never extend credit beyond ₱5,000 without Aileen's approval.</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Price review</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Review wholesale cost and selling price monthly. Feed ingredient prices move with corn and soy prices — build the habit of tracking.</w:t>
            </w:r>
          </w:p>
        </w:tc>
      </w:tr>
    </w:tbl>
    <w:p>
      <w:pPr>
        <w:spacing w:before="0" w:after="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4"/>
              <w:left w:val="single" w:color="C9A84C" w:sz="6"/>
              <w:bottom w:val="none" w:color="FFFFFF" w:sz="0"/>
              <w:right w:val="none" w:color="FFFFFF" w:sz="0"/>
            </w:tcBorders>
            <w:shd w:fill="EAF4EB" w:val="clear"/>
            <w:tcMar>
              <w:top w:type="dxa" w:w="140"/>
              <w:left w:type="dxa" w:w="220"/>
              <w:bottom w:type="dxa" w:w="140"/>
              <w:right w:type="dxa" w:w="220"/>
            </w:tcMar>
          </w:tcPr>
          <w:p>
            <w:pPr>
              <w:spacing w:before="0" w:after="0"/>
            </w:pPr>
            <w:r>
              <w:rPr>
                <w:rFonts w:ascii="Arial" w:cs="Arial" w:eastAsia="Arial" w:hAnsi="Arial"/>
                <w:color w:val="2C4A2E"/>
                <w:sz w:val="22"/>
                <w:szCs w:val="22"/>
              </w:rPr>
              <w:t xml:space="preserve">At 30 bags per day average × ₱100 margin per bag = ₱3,000/day = ₱90,000/month gross margin.</w:t>
            </w:r>
          </w:p>
          <w:p>
            <w:pPr>
              <w:spacing w:before="0" w:after="0"/>
            </w:pPr>
            <w:r>
              <w:rPr>
                <w:rFonts w:ascii="Arial" w:cs="Arial" w:eastAsia="Arial" w:hAnsi="Arial"/>
                <w:color w:val="2C4A2E"/>
                <w:sz w:val="22"/>
                <w:szCs w:val="22"/>
              </w:rPr>
              <w:t xml:space="preserve">At 50 bags per day × ₱100 margin = ₱150,000/month gross margin.</w:t>
            </w:r>
          </w:p>
          <w:p>
            <w:pPr>
              <w:spacing w:before="0" w:after="60"/>
            </w:pPr>
            <w:r>
              <w:rPr>
                <w:rFonts w:ascii="Arial" w:cs="Arial" w:eastAsia="Arial" w:hAnsi="Arial"/>
                <w:color w:val="2C4A2E"/>
                <w:sz w:val="22"/>
                <w:szCs w:val="22"/>
              </w:rPr>
              <w:t xml:space="preserve"/>
            </w:r>
          </w:p>
          <w:p>
            <w:pPr>
              <w:spacing w:before="0" w:after="0"/>
            </w:pPr>
            <w:r>
              <w:rPr>
                <w:rFonts w:ascii="Arial" w:cs="Arial" w:eastAsia="Arial" w:hAnsi="Arial"/>
                <w:color w:val="2C4A2E"/>
                <w:sz w:val="22"/>
                <w:szCs w:val="22"/>
              </w:rPr>
              <w:t xml:space="preserve">These are realistic targets for a road-facing feeds hub in a farming community.</w:t>
            </w:r>
          </w:p>
          <w:p>
            <w:pPr>
              <w:spacing w:before="0" w:after="0"/>
            </w:pPr>
            <w:r>
              <w:rPr>
                <w:rFonts w:ascii="Arial" w:cs="Arial" w:eastAsia="Arial" w:hAnsi="Arial"/>
                <w:color w:val="2C4A2E"/>
                <w:sz w:val="22"/>
                <w:szCs w:val="22"/>
              </w:rPr>
              <w:t xml:space="preserve">The feeds margin alone covers Stage 1 operating costs.</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3.  Suppliers — Identify Two Before Launch</w:t>
            </w:r>
          </w:p>
        </w:tc>
      </w:tr>
    </w:tbl>
    <w:p>
      <w:pPr>
        <w:spacing w:before="0" w:after="6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8B3A2E" w:sz="14"/>
              <w:left w:val="single" w:color="8B3A2E" w:sz="6"/>
              <w:bottom w:val="none" w:color="FFFFFF" w:sz="0"/>
              <w:right w:val="none" w:color="FFFFFF" w:sz="0"/>
            </w:tcBorders>
            <w:shd w:fill="FFF0EE" w:val="clear"/>
            <w:tcMar>
              <w:top w:type="dxa" w:w="140"/>
              <w:left w:type="dxa" w:w="220"/>
              <w:bottom w:type="dxa" w:w="140"/>
              <w:right w:type="dxa" w:w="220"/>
            </w:tcMar>
          </w:tcPr>
          <w:p>
            <w:pPr>
              <w:spacing w:before="0" w:after="0"/>
            </w:pPr>
            <w:r>
              <w:rPr>
                <w:rFonts w:ascii="Arial" w:cs="Arial" w:eastAsia="Arial" w:hAnsi="Arial"/>
                <w:color w:val="8B3A2E"/>
                <w:sz w:val="22"/>
                <w:szCs w:val="22"/>
              </w:rPr>
              <w:t xml:space="preserve">Never rely on a single feed supplier. If they run out of stock, have a price spike, or fail to deliver on time — your farmers go elsewhere and the relationship breaks. Always maintain two reliable wholesale sources.</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c>
          <w:tcPr>
            <w:tcW w:type="dxa" w:w="22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Supplier Type</w:t>
            </w:r>
          </w:p>
        </w:tc>
        <w:tc>
          <w:tcPr>
            <w:tcW w:type="dxa" w:w="28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Where to Find</w:t>
            </w:r>
          </w:p>
        </w:tc>
        <w:tc>
          <w:tcPr>
            <w:tcW w:type="dxa" w:w="43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What to Negotiate</w:t>
            </w:r>
          </w:p>
        </w:tc>
      </w:tr>
      <w:tr>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Major feed mills</w:t>
            </w:r>
          </w:p>
        </w:tc>
        <w:tc>
          <w:tcPr>
            <w:tcW w:type="dxa" w:w="2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San Miguel Foods, Pilmico, Vitarich — all have regional distributors in Bicol. Visit Naga or Iriga.</w:t>
            </w:r>
          </w:p>
        </w:tc>
        <w:tc>
          <w:tcPr>
            <w:tcW w:type="dxa" w:w="43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Volume discounts at 100+ bags/week. Credit terms: net 15 or net 30. Delivery to Ragay included in price.</w:t>
            </w:r>
          </w:p>
        </w:tc>
      </w:tr>
      <w:tr>
        <w:tc>
          <w:tcPr>
            <w:tcW w:type="dxa" w:w="22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Regional wholesalers</w:t>
            </w:r>
          </w:p>
        </w:tc>
        <w:tc>
          <w:tcPr>
            <w:tcW w:type="dxa" w:w="2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Naga City and Iriga City public markets have feed wholesalers. Ask farmers where they currently buy.</w:t>
            </w:r>
          </w:p>
        </w:tc>
        <w:tc>
          <w:tcPr>
            <w:tcW w:type="dxa" w:w="43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Flexible minimum orders. Faster restocking lead times than major mills. Emergency stock when primary supplier is short.</w:t>
            </w:r>
          </w:p>
        </w:tc>
      </w:tr>
      <w:tr>
        <w:tc>
          <w:tcPr>
            <w:tcW w:type="dxa" w:w="22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Corn and grain traders</w:t>
            </w:r>
          </w:p>
        </w:tc>
        <w:tc>
          <w:tcPr>
            <w:tcW w:type="dxa" w:w="2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Local traders in Ragay and nearby barangays who source direct from farms.</w:t>
            </w:r>
          </w:p>
        </w:tc>
        <w:tc>
          <w:tcPr>
            <w:tcW w:type="dxa" w:w="43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Buy at harvest price when corn is cheap. Store in sealed containers. This is the lowest-cost feed ingredient.</w:t>
            </w:r>
          </w:p>
        </w:tc>
      </w:tr>
    </w:tbl>
    <w:p>
      <w:pPr>
        <w:spacing w:before="0" w:after="80"/>
      </w:pPr>
      <w:r>
        <w:t xml:space="preserve"/>
      </w:r>
    </w:p>
    <w:p>
      <w:pPr>
        <w:spacing w:before="200" w:after="80"/>
      </w:pPr>
      <w:r>
        <w:rPr>
          <w:rFonts w:ascii="Arial" w:cs="Arial" w:eastAsia="Arial" w:hAnsi="Arial"/>
          <w:b/>
          <w:bCs/>
          <w:color w:val="2C4A2E"/>
          <w:sz w:val="23"/>
          <w:szCs w:val="23"/>
        </w:rPr>
        <w:t xml:space="preserve">Supplier Evaluation — Questions to Ask</w:t>
      </w:r>
    </w:p>
    <w:p>
      <w:pPr>
        <w:pStyle w:val="ListParagraph"/>
        <w:numPr>
          <w:ilvl w:val="0"/>
          <w:numId w:val="2"/>
        </w:numPr>
        <w:spacing w:before="40" w:after="40"/>
      </w:pPr>
      <w:r>
        <w:rPr>
          <w:rFonts w:ascii="Arial" w:cs="Arial" w:eastAsia="Arial" w:hAnsi="Arial"/>
          <w:b w:val="false"/>
          <w:bCs w:val="false"/>
          <w:color w:val="111111"/>
          <w:sz w:val="22"/>
          <w:szCs w:val="22"/>
        </w:rPr>
        <w:t xml:space="preserve">What is the delivered price per bag to Ragay — all-in, no surprises?</w:t>
      </w:r>
    </w:p>
    <w:p>
      <w:pPr>
        <w:pStyle w:val="ListParagraph"/>
        <w:numPr>
          <w:ilvl w:val="0"/>
          <w:numId w:val="2"/>
        </w:numPr>
        <w:spacing w:before="40" w:after="40"/>
      </w:pPr>
      <w:r>
        <w:rPr>
          <w:rFonts w:ascii="Arial" w:cs="Arial" w:eastAsia="Arial" w:hAnsi="Arial"/>
          <w:b w:val="false"/>
          <w:bCs w:val="false"/>
          <w:color w:val="111111"/>
          <w:sz w:val="22"/>
          <w:szCs w:val="22"/>
        </w:rPr>
        <w:t xml:space="preserve">What is the minimum order to qualify for delivery?</w:t>
      </w:r>
    </w:p>
    <w:p>
      <w:pPr>
        <w:pStyle w:val="ListParagraph"/>
        <w:numPr>
          <w:ilvl w:val="0"/>
          <w:numId w:val="2"/>
        </w:numPr>
        <w:spacing w:before="40" w:after="40"/>
      </w:pPr>
      <w:r>
        <w:rPr>
          <w:rFonts w:ascii="Arial" w:cs="Arial" w:eastAsia="Arial" w:hAnsi="Arial"/>
          <w:b w:val="false"/>
          <w:bCs w:val="false"/>
          <w:color w:val="111111"/>
          <w:sz w:val="22"/>
          <w:szCs w:val="22"/>
        </w:rPr>
        <w:t xml:space="preserve">What is the lead time from order to delivery?</w:t>
      </w:r>
    </w:p>
    <w:p>
      <w:pPr>
        <w:pStyle w:val="ListParagraph"/>
        <w:numPr>
          <w:ilvl w:val="0"/>
          <w:numId w:val="2"/>
        </w:numPr>
        <w:spacing w:before="40" w:after="40"/>
      </w:pPr>
      <w:r>
        <w:rPr>
          <w:rFonts w:ascii="Arial" w:cs="Arial" w:eastAsia="Arial" w:hAnsi="Arial"/>
          <w:b w:val="false"/>
          <w:bCs w:val="false"/>
          <w:color w:val="111111"/>
          <w:sz w:val="22"/>
          <w:szCs w:val="22"/>
        </w:rPr>
        <w:t xml:space="preserve">Do they offer credit terms? What are the conditions?</w:t>
      </w:r>
    </w:p>
    <w:p>
      <w:pPr>
        <w:pStyle w:val="ListParagraph"/>
        <w:numPr>
          <w:ilvl w:val="0"/>
          <w:numId w:val="2"/>
        </w:numPr>
        <w:spacing w:before="40" w:after="40"/>
      </w:pPr>
      <w:r>
        <w:rPr>
          <w:rFonts w:ascii="Arial" w:cs="Arial" w:eastAsia="Arial" w:hAnsi="Arial"/>
          <w:b w:val="false"/>
          <w:bCs w:val="false"/>
          <w:color w:val="111111"/>
          <w:sz w:val="22"/>
          <w:szCs w:val="22"/>
        </w:rPr>
        <w:t xml:space="preserve">What happens if a batch is defective — what is the returns process?</w:t>
      </w:r>
    </w:p>
    <w:p>
      <w:pPr>
        <w:pStyle w:val="ListParagraph"/>
        <w:numPr>
          <w:ilvl w:val="0"/>
          <w:numId w:val="2"/>
        </w:numPr>
        <w:spacing w:before="40" w:after="40"/>
      </w:pPr>
      <w:r>
        <w:rPr>
          <w:rFonts w:ascii="Arial" w:cs="Arial" w:eastAsia="Arial" w:hAnsi="Arial"/>
          <w:b w:val="false"/>
          <w:bCs w:val="false"/>
          <w:color w:val="111111"/>
          <w:sz w:val="22"/>
          <w:szCs w:val="22"/>
        </w:rPr>
        <w:t xml:space="preserve">Can they supply consistently year-round, including during typhoon season?</w:t>
      </w:r>
    </w:p>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4.  Storage Requirements</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Requirement</w:t>
            </w:r>
          </w:p>
        </w:tc>
        <w:tc>
          <w:tcPr>
            <w:tcW w:type="dxa" w:w="69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Specification</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Floor space</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Minimum 20 sqm for initial stock. 40 sqm as volume grows. Bags stacked on pallets — never directly on ground.</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Pallets</w:t>
            </w:r>
          </w:p>
        </w:tc>
        <w:tc>
          <w:tcPr>
            <w:tcW w:type="dxa" w:w="6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Essential. Bags on the floor absorb moisture and attract pests. Wooden or plastic pallets, minimum 15cm clearance from ground.</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Ventilation</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Feeds stored in a ventilated space — not sealed. Heat and humidity cause rapid spoilage. No direct sunlight on bags.</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Pest control</w:t>
            </w:r>
          </w:p>
        </w:tc>
        <w:tc>
          <w:tcPr>
            <w:tcW w:type="dxa" w:w="6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Regular inspection for rodents and insects. Snap traps and monitoring stations. No poison bait near feed stock.</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Stock rotation</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First in, first out. Always. Oldest bags at the front. Never sell bags past their best-before date.</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Stock count</w:t>
            </w:r>
          </w:p>
        </w:tc>
        <w:tc>
          <w:tcPr>
            <w:tcW w:type="dxa" w:w="6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Weekly physical count of every product line. Cross-referenced against sales records. Shrinkage identified immediately.</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Temporary vs permanent</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Stage 1: a container or a borrowed shed at Agrupacion or through Raff's network. Stage 2: dedicated storage at the hub site.</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5.  The Farmer Network — Building It Right</w:t>
            </w:r>
          </w:p>
        </w:tc>
      </w:tr>
    </w:tbl>
    <w:p>
      <w:pPr>
        <w:spacing w:before="0" w:after="60"/>
      </w:pPr>
      <w:r>
        <w:t xml:space="preserve"/>
      </w:r>
    </w:p>
    <w:p>
      <w:pPr>
        <w:spacing w:before="60" w:after="60"/>
      </w:pPr>
      <w:r>
        <w:rPr>
          <w:rFonts w:ascii="Arial" w:cs="Arial" w:eastAsia="Arial" w:hAnsi="Arial"/>
          <w:b w:val="false"/>
          <w:bCs w:val="false"/>
          <w:color w:val="111111"/>
          <w:sz w:val="22"/>
          <w:szCs w:val="22"/>
        </w:rPr>
        <w:t xml:space="preserve">The feeds spoke lives or dies by the quality of the farmer relationships built in the first 90 days. Price alone does not build loyalty — reliability and respect do.</w:t>
      </w:r>
    </w:p>
    <w:p>
      <w:pPr>
        <w:spacing w:before="0" w:after="80"/>
      </w:pPr>
      <w:r>
        <w:t xml:space="preserve"/>
      </w:r>
    </w:p>
    <w:p>
      <w:pPr>
        <w:spacing w:before="200" w:after="80"/>
      </w:pPr>
      <w:r>
        <w:rPr>
          <w:rFonts w:ascii="Arial" w:cs="Arial" w:eastAsia="Arial" w:hAnsi="Arial"/>
          <w:b/>
          <w:bCs/>
          <w:color w:val="2C4A2E"/>
          <w:sz w:val="23"/>
          <w:szCs w:val="23"/>
        </w:rPr>
        <w:t xml:space="preserve">How to Build the Network</w:t>
      </w:r>
    </w:p>
    <w:p>
      <w:pPr>
        <w:pStyle w:val="ListParagraph"/>
        <w:numPr>
          <w:ilvl w:val="0"/>
          <w:numId w:val="3"/>
        </w:numPr>
        <w:spacing w:before="50" w:after="50"/>
      </w:pPr>
      <w:r>
        <w:rPr>
          <w:rFonts w:ascii="Arial" w:cs="Arial" w:eastAsia="Arial" w:hAnsi="Arial"/>
          <w:b w:val="false"/>
          <w:bCs w:val="false"/>
          <w:sz w:val="22"/>
          <w:szCs w:val="22"/>
        </w:rPr>
        <w:t xml:space="preserve">Week 1–2: Ask Raff and local contacts for introductions to 5–10 active farmers nearby. Visit them. Listen. Ask what they are growing, what they are struggling with, what feed they currently use and where they buy it.</w:t>
      </w:r>
    </w:p>
    <w:p>
      <w:pPr>
        <w:pStyle w:val="ListParagraph"/>
        <w:numPr>
          <w:ilvl w:val="0"/>
          <w:numId w:val="3"/>
        </w:numPr>
        <w:spacing w:before="50" w:after="50"/>
      </w:pPr>
      <w:r>
        <w:rPr>
          <w:rFonts w:ascii="Arial" w:cs="Arial" w:eastAsia="Arial" w:hAnsi="Arial"/>
          <w:b w:val="false"/>
          <w:bCs w:val="false"/>
          <w:sz w:val="22"/>
          <w:szCs w:val="22"/>
        </w:rPr>
        <w:t xml:space="preserve">Week 3–4: Make a small first batch of feed available. Tell them the price, the quality, the terms. No pressure. Let the product speak.</w:t>
      </w:r>
    </w:p>
    <w:p>
      <w:pPr>
        <w:pStyle w:val="ListParagraph"/>
        <w:numPr>
          <w:ilvl w:val="0"/>
          <w:numId w:val="3"/>
        </w:numPr>
        <w:spacing w:before="50" w:after="50"/>
      </w:pPr>
      <w:r>
        <w:rPr>
          <w:rFonts w:ascii="Arial" w:cs="Arial" w:eastAsia="Arial" w:hAnsi="Arial"/>
          <w:b w:val="false"/>
          <w:bCs w:val="false"/>
          <w:sz w:val="22"/>
          <w:szCs w:val="22"/>
        </w:rPr>
        <w:t xml:space="preserve">Month 2: Follow up with the farmers who bought. Was the product right? Did it perform? What do they need next?</w:t>
      </w:r>
    </w:p>
    <w:p>
      <w:pPr>
        <w:pStyle w:val="ListParagraph"/>
        <w:numPr>
          <w:ilvl w:val="0"/>
          <w:numId w:val="3"/>
        </w:numPr>
        <w:spacing w:before="50" w:after="50"/>
      </w:pPr>
      <w:r>
        <w:rPr>
          <w:rFonts w:ascii="Arial" w:cs="Arial" w:eastAsia="Arial" w:hAnsi="Arial"/>
          <w:b w:val="false"/>
          <w:bCs w:val="false"/>
          <w:sz w:val="22"/>
          <w:szCs w:val="22"/>
        </w:rPr>
        <w:t xml:space="preserve">Month 3: Referrals start. A farmer who trusts you tells their neighbours. This is how the network grows — not through advertising, through results.</w:t>
      </w:r>
    </w:p>
    <w:p>
      <w:pPr>
        <w:spacing w:before="0" w:after="80"/>
      </w:pPr>
      <w:r>
        <w:t xml:space="preserve"/>
      </w:r>
    </w:p>
    <w:p>
      <w:pPr>
        <w:spacing w:before="200" w:after="80"/>
      </w:pPr>
      <w:r>
        <w:rPr>
          <w:rFonts w:ascii="Arial" w:cs="Arial" w:eastAsia="Arial" w:hAnsi="Arial"/>
          <w:b/>
          <w:bCs/>
          <w:color w:val="2C4A2E"/>
          <w:sz w:val="23"/>
          <w:szCs w:val="23"/>
        </w:rPr>
        <w:t xml:space="preserve">The Farmer Record — Keep It Simple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Field</w:t>
            </w:r>
          </w:p>
        </w:tc>
        <w:tc>
          <w:tcPr>
            <w:tcW w:type="dxa" w:w="69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Why It Matters</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Farmer name and barangay</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Know who you are dealing with. Personal relationship, not a transaction.</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What animals they raise</w:t>
            </w:r>
          </w:p>
        </w:tc>
        <w:tc>
          <w:tcPr>
            <w:tcW w:type="dxa" w:w="6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Informs what feed they need. Poultry? Pigs? Goats? Cattle?</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Current monthly feed volume</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How many bags per month? This is their demand — and your sales forecast.</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Where they currently buy</w:t>
            </w:r>
          </w:p>
        </w:tc>
        <w:tc>
          <w:tcPr>
            <w:tcW w:type="dxa" w:w="6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Who is the competitor? What would make them switch?</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Credit status</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Cash or credit? If credit — what is their track record? What is the current balance?</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Surplus produce available</w:t>
            </w:r>
          </w:p>
        </w:tc>
        <w:tc>
          <w:tcPr>
            <w:tcW w:type="dxa" w:w="6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Do they have vegetables, eggs, or livestock to sell? This is future market inventory.</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Last contact date</w:t>
            </w:r>
          </w:p>
        </w:tc>
        <w:tc>
          <w:tcPr>
            <w:tcW w:type="dxa" w:w="6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When did you last speak to this farmer? Relationships go cold if you only appear when you want to sell.</w:t>
            </w:r>
          </w:p>
        </w:tc>
      </w:tr>
    </w:tbl>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6.  Operations — Day to Day</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5560"/>
      </w:tblGrid>
      <w:tr>
        <w:tc>
          <w:tcPr>
            <w:tcW w:type="dxa" w:w="2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Task</w:t>
            </w:r>
          </w:p>
        </w:tc>
        <w:tc>
          <w:tcPr>
            <w:tcW w:type="dxa" w:w="1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Frequency</w:t>
            </w:r>
          </w:p>
        </w:tc>
        <w:tc>
          <w:tcPr>
            <w:tcW w:type="dxa" w:w="55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Detail</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Stock count</w:t>
            </w:r>
          </w:p>
        </w:tc>
        <w:tc>
          <w:tcPr>
            <w:tcW w:type="dxa" w:w="1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Weekly</w:t>
            </w:r>
          </w:p>
        </w:tc>
        <w:tc>
          <w:tcPr>
            <w:tcW w:type="dxa" w:w="55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Physical count of every product line. Compare to sales log. Identify discrepancies immediately.</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Price check</w:t>
            </w:r>
          </w:p>
        </w:tc>
        <w:tc>
          <w:tcPr>
            <w:tcW w:type="dxa" w:w="1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Monthly</w:t>
            </w:r>
          </w:p>
        </w:tc>
        <w:tc>
          <w:tcPr>
            <w:tcW w:type="dxa" w:w="55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Compare your selling prices to competitors in Sipocot, Naga, and Iriga. Adjust if needed.</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Supplier order</w:t>
            </w:r>
          </w:p>
        </w:tc>
        <w:tc>
          <w:tcPr>
            <w:tcW w:type="dxa" w:w="1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Weekly or fortnightly</w:t>
            </w:r>
          </w:p>
        </w:tc>
        <w:tc>
          <w:tcPr>
            <w:tcW w:type="dxa" w:w="55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Order based on stock levels and upcoming farmer demand. Never run out of your top 3 lines.</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Farmer follow-up calls</w:t>
            </w:r>
          </w:p>
        </w:tc>
        <w:tc>
          <w:tcPr>
            <w:tcW w:type="dxa" w:w="1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Weekly</w:t>
            </w:r>
          </w:p>
        </w:tc>
        <w:tc>
          <w:tcPr>
            <w:tcW w:type="dxa" w:w="55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5–10 calls to regulars. Ask how the animals are going. Note any new needs. Relationship maintenance.</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Credit review</w:t>
            </w:r>
          </w:p>
        </w:tc>
        <w:tc>
          <w:tcPr>
            <w:tcW w:type="dxa" w:w="1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Monthly</w:t>
            </w:r>
          </w:p>
        </w:tc>
        <w:tc>
          <w:tcPr>
            <w:tcW w:type="dxa" w:w="55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Review all outstanding credit accounts. Chase overdue balances before they grow. Cut credit if pattern of late payment.</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Sales log</w:t>
            </w:r>
          </w:p>
        </w:tc>
        <w:tc>
          <w:tcPr>
            <w:tcW w:type="dxa" w:w="1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Daily</w:t>
            </w:r>
          </w:p>
        </w:tc>
        <w:tc>
          <w:tcPr>
            <w:tcW w:type="dxa" w:w="55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Every bag sold: date, farmer name, product, quantity, price, cash or credit. Non-negotiable.</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Monthly P&amp;L</w:t>
            </w:r>
          </w:p>
        </w:tc>
        <w:tc>
          <w:tcPr>
            <w:tcW w:type="dxa" w:w="1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Monthly</w:t>
            </w:r>
          </w:p>
        </w:tc>
        <w:tc>
          <w:tcPr>
            <w:tcW w:type="dxa" w:w="55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Revenue from feeds, cost of goods, margin per product line, gross profit. Share with Aileen.</w:t>
            </w:r>
          </w:p>
        </w:tc>
      </w:tr>
    </w:tbl>
    <w:p>
      <w:pPr>
        <w:spacing w:before="0" w:after="80"/>
      </w:pPr>
      <w:r>
        <w:t xml:space="preserve"/>
      </w:r>
    </w:p>
    <w:p>
      <w:pPr>
        <w:pBdr>
          <w:bottom w:val="single" w:color="DDDDDD" w:sz="4"/>
        </w:pBdr>
        <w:spacing w:before="180" w:after="1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none" w:color="FFFFFF" w:sz="0"/>
              <w:bottom w:val="single" w:color="C9A84C" w:sz="6"/>
              <w:right w:val="none" w:color="FFFFFF" w:sz="0"/>
            </w:tcBorders>
            <w:shd w:fill="1E3A21" w:val="clear"/>
            <w:tcMar>
              <w:top w:type="dxa" w:w="100"/>
              <w:left w:type="dxa" w:w="200"/>
              <w:bottom w:type="dxa" w:w="100"/>
              <w:right w:type="dxa" w:w="200"/>
            </w:tcMar>
          </w:tcPr>
          <w:p>
            <w:pPr>
              <w:spacing w:before="0" w:after="0"/>
            </w:pPr>
            <w:r>
              <w:rPr>
                <w:rFonts w:ascii="Arial" w:cs="Arial" w:eastAsia="Arial" w:hAnsi="Arial"/>
                <w:b/>
                <w:bCs/>
                <w:color w:val="C9A84C"/>
                <w:sz w:val="22"/>
                <w:szCs w:val="22"/>
              </w:rPr>
              <w:t xml:space="preserve">7.  Month-by-Month Launch Targets</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5960"/>
      </w:tblGrid>
      <w:tr>
        <w:tc>
          <w:tcPr>
            <w:tcW w:type="dxa" w:w="1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Month</w:t>
            </w:r>
          </w:p>
        </w:tc>
        <w:tc>
          <w:tcPr>
            <w:tcW w:type="dxa" w:w="20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Target</w:t>
            </w:r>
          </w:p>
        </w:tc>
        <w:tc>
          <w:tcPr>
            <w:tcW w:type="dxa" w:w="59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Milestone</w:t>
            </w:r>
          </w:p>
        </w:tc>
      </w:tr>
      <w:tr>
        <w:tc>
          <w:tcPr>
            <w:tcW w:type="dxa" w:w="1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Month 3</w:t>
            </w:r>
          </w:p>
        </w:tc>
        <w:tc>
          <w:tcPr>
            <w:tcW w:type="dxa" w:w="2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Research complete</w:t>
            </w:r>
          </w:p>
        </w:tc>
        <w:tc>
          <w:tcPr>
            <w:tcW w:type="dxa" w:w="5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Two wholesale suppliers identified and visited. Price lists obtained. Storage space confirmed.</w:t>
            </w:r>
          </w:p>
        </w:tc>
      </w:tr>
      <w:tr>
        <w:tc>
          <w:tcPr>
            <w:tcW w:type="dxa" w:w="1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Month 3–4</w:t>
            </w:r>
          </w:p>
        </w:tc>
        <w:tc>
          <w:tcPr>
            <w:tcW w:type="dxa" w:w="2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Soft launch</w:t>
            </w:r>
          </w:p>
        </w:tc>
        <w:tc>
          <w:tcPr>
            <w:tcW w:type="dxa" w:w="5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First stock purchased. First 5–10 farmer customers served. Sales log running.</w:t>
            </w:r>
          </w:p>
        </w:tc>
      </w:tr>
      <w:tr>
        <w:tc>
          <w:tcPr>
            <w:tcW w:type="dxa" w:w="1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Month 4</w:t>
            </w:r>
          </w:p>
        </w:tc>
        <w:tc>
          <w:tcPr>
            <w:tcW w:type="dxa" w:w="2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₱50,000 gross margin</w:t>
            </w:r>
          </w:p>
        </w:tc>
        <w:tc>
          <w:tcPr>
            <w:tcW w:type="dxa" w:w="5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Volume building. Regular farmer customers returning. Credit policy applied consistently.</w:t>
            </w:r>
          </w:p>
        </w:tc>
      </w:tr>
      <w:tr>
        <w:tc>
          <w:tcPr>
            <w:tcW w:type="dxa" w:w="1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Month 5</w:t>
            </w:r>
          </w:p>
        </w:tc>
        <w:tc>
          <w:tcPr>
            <w:tcW w:type="dxa" w:w="2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Hub site open</w:t>
            </w:r>
          </w:p>
        </w:tc>
        <w:tc>
          <w:tcPr>
            <w:tcW w:type="dxa" w:w="5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Feeds moves to road-facing hub container. Signage up. Hours posted. New customers from highway passing traffic.</w:t>
            </w:r>
          </w:p>
        </w:tc>
      </w:tr>
      <w:tr>
        <w:tc>
          <w:tcPr>
            <w:tcW w:type="dxa" w:w="1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Month 5–6</w:t>
            </w:r>
          </w:p>
        </w:tc>
        <w:tc>
          <w:tcPr>
            <w:tcW w:type="dxa" w:w="2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₱100,000 gross margin</w:t>
            </w:r>
          </w:p>
        </w:tc>
        <w:tc>
          <w:tcPr>
            <w:tcW w:type="dxa" w:w="59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20+ regular farmer accounts. Two product lines consistently in stock. Supplier relationship solid.</w:t>
            </w:r>
          </w:p>
        </w:tc>
      </w:tr>
      <w:tr>
        <w:tc>
          <w:tcPr>
            <w:tcW w:type="dxa" w:w="1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Month 8–10</w:t>
            </w:r>
          </w:p>
        </w:tc>
        <w:tc>
          <w:tcPr>
            <w:tcW w:type="dxa" w:w="2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₱150,000+ gross margin</w:t>
            </w:r>
          </w:p>
        </w:tc>
        <w:tc>
          <w:tcPr>
            <w:tcW w:type="dxa" w:w="59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Add day-old chick sales if demand proven. Seasonal products (planting inputs) introduced.</w:t>
            </w:r>
          </w:p>
        </w:tc>
      </w:tr>
    </w:tbl>
    <w:p>
      <w:pPr>
        <w:spacing w:before="0" w:after="80"/>
      </w:pPr>
      <w:r>
        <w:t xml:space="preserve"/>
      </w:r>
    </w:p>
    <w:p>
      <w:pPr>
        <w:pBdr>
          <w:bottom w:val="single" w:color="DDDDDD" w:sz="4"/>
        </w:pBdr>
        <w:spacing w:before="180" w:after="180"/>
      </w:pPr>
    </w:p>
    <w:p>
      <w:pPr>
        <w:spacing w:before="60" w:after="80"/>
        <w:jc w:val="center"/>
      </w:pPr>
      <w:r>
        <w:rPr>
          <w:rFonts w:ascii="Arial" w:cs="Arial" w:eastAsia="Arial" w:hAnsi="Arial"/>
          <w:color w:val="C9A84C"/>
          <w:sz w:val="24"/>
          <w:szCs w:val="24"/>
        </w:rPr>
        <w:t xml:space="preserve">Live with the land, not on it.  ·  Makiisa sa kalikasan.</w:t>
      </w:r>
    </w:p>
    <w:p>
      <w:pPr>
        <w:spacing w:before="0" w:after="0"/>
        <w:jc w:val="center"/>
      </w:pPr>
      <w:r>
        <w:rPr>
          <w:rFonts w:ascii="Arial" w:cs="Arial" w:eastAsia="Arial" w:hAnsi="Arial"/>
          <w:color w:val="888888"/>
          <w:sz w:val="18"/>
          <w:szCs w:val="18"/>
        </w:rPr>
        <w:t xml:space="preserve">Nana Bambi's  ·  Ragay, Camarines Sur, Bicol  ·  March 2026</w:t>
      </w:r>
    </w:p>
    <w:sectPr>
      <w:headerReference w:type="default" r:id="rId6"/>
      <w:footerReference w:type="default" r:id="rId7"/>
      <w:pgSz w:w="12240" w:h="15840"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pBdr>
      <w:spacing w:before="100"/>
      <w:jc w:val="center"/>
    </w:pPr>
    <w:r>
      <w:rPr>
        <w:rFonts w:ascii="Arial" w:cs="Arial" w:eastAsia="Arial" w:hAnsi="Arial"/>
        <w:color w:val="888888"/>
        <w:sz w:val="16"/>
        <w:szCs w:val="16"/>
      </w:rPr>
      <w:t xml:space="preserve">Nana Bambi's  ·  Ragay, Camarines Sur  ·  March 2026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pBdr>
      <w:tabs>
        <w:tab w:val="right" w:pos="9360"/>
      </w:tabs>
      <w:spacing w:after="180"/>
    </w:pPr>
    <w:r>
      <w:rPr>
        <w:rFonts w:ascii="Arial" w:cs="Arial" w:eastAsia="Arial" w:hAnsi="Arial"/>
        <w:color w:val="2C4A2E"/>
        <w:sz w:val="18"/>
        <w:szCs w:val="18"/>
      </w:rPr>
      <w:t xml:space="preserve">NANA BAMBI'S  ·  Feeds &amp; Supply — Spoke Plan</w:t>
    </w:r>
    <w:r>
      <w:rPr>
        <w:rFonts w:ascii="Arial" w:cs="Arial" w:eastAsia="Arial" w:hAnsi="Arial"/>
      </w:rPr>
      <w:t xml:space="preserve">	</w:t>
    </w:r>
    <w:r>
      <w:rPr>
        <w:rFonts w:ascii="Arial" w:cs="Arial" w:eastAsia="Arial" w:hAnsi="Arial"/>
        <w:color w:val="C9A84C"/>
        <w:sz w:val="18"/>
        <w:szCs w:val="18"/>
      </w:rPr>
      <w:t xml:space="preserve">INTERNAL — OPERATIONS 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abstractNum w:abstractNumId="4"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2026-03-08T20:15:07.193Z</dcterms:created>
  <dcterms:modified xsi:type="dcterms:W3CDTF">2026-03-08T20:15:07.193Z</dcterms:modified>
</cp:coreProperties>
</file>

<file path=docProps/custom.xml><?xml version="1.0" encoding="utf-8"?>
<Properties xmlns="http://schemas.openxmlformats.org/officeDocument/2006/custom-properties" xmlns:vt="http://schemas.openxmlformats.org/officeDocument/2006/docPropsVTypes"/>
</file>