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44"/>
                <w:szCs w:val="44"/>
              </w:rPr>
              <w:t xml:space="preserve">POSITION: LOCAL ACCOUNTANT</w:t>
            </w:r>
          </w:p>
          <w:p>
            <w:pPr>
              <w:spacing w:before="80"/>
              <w:jc w:val="center"/>
            </w:pPr>
            <w:r>
              <w:rPr>
                <w:rFonts w:ascii="Arial" w:cs="Arial" w:eastAsia="Arial" w:hAnsi="Arial"/>
                <w:color w:val="B8D4BC"/>
                <w:sz w:val="22"/>
                <w:szCs w:val="22"/>
              </w:rPr>
              <w:t xml:space="preserve">Nana Bambi's Place  ·  Ragay, Camarines Sur, Bicol</w:t>
            </w:r>
          </w:p>
          <w:p>
            <w:pPr>
              <w:spacing w:before="40"/>
              <w:jc w:val="center"/>
            </w:pPr>
            <w:r>
              <w:rPr>
                <w:rFonts w:ascii="Arial" w:cs="Arial" w:eastAsia="Arial" w:hAnsi="Arial"/>
                <w:color w:val="9DC4A2"/>
                <w:sz w:val="20"/>
                <w:szCs w:val="20"/>
              </w:rPr>
              <w:t xml:space="preserve">Full Time  ·  Permanent  ·  Reports to Aileen &amp; Aidan Mulkerrins</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Name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Works With</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Grace</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Agricultural Tax Accountant (Specialist)</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This Role</w:t>
      </w:r>
    </w:p>
    <w:p>
      <w:pPr>
        <w:spacing w:before="80" w:after="100"/>
      </w:pPr>
      <w:r>
        <w:rPr>
          <w:rFonts w:ascii="Arial" w:cs="Arial" w:eastAsia="Arial" w:hAnsi="Arial"/>
          <w:color w:val="1c1c1c"/>
          <w:sz w:val="22"/>
          <w:szCs w:val="22"/>
        </w:rPr>
        <w:t xml:space="preserve">The Local Accountant is the financial backbone of the enterprise's day-to-day operations. This role handles everything that happens inside the books — transaction recording, reconciliation, payroll processing, stock and asset tracking, and financial reporting to Aileen and Aidan.</w:t>
      </w:r>
    </w:p>
    <w:p>
      <w:pPr>
        <w:spacing w:before="80" w:after="80"/>
      </w:pPr>
    </w:p>
    <w:p>
      <w:pPr>
        <w:spacing w:before="80" w:after="100"/>
      </w:pPr>
      <w:r>
        <w:rPr>
          <w:rFonts w:ascii="Arial" w:cs="Arial" w:eastAsia="Arial" w:hAnsi="Arial"/>
          <w:color w:val="1c1c1c"/>
          <w:sz w:val="22"/>
          <w:szCs w:val="22"/>
        </w:rPr>
        <w:t xml:space="preserve">Grace is not the enterprise's tax specialist — that work is handled by the agricultural tax accountant on retainer. Grace is the person who keeps the books clean, accurate, and current so that the specialist has correct data to work with. The quality of the specialist's work is directly dependent on the quality of Grace's books.</w:t>
      </w:r>
    </w:p>
    <w:p>
      <w:pPr>
        <w:spacing w:before="80" w:after="80"/>
      </w:pPr>
    </w:p>
    <w:p>
      <w:pPr>
        <w:spacing w:before="80" w:after="100"/>
      </w:pPr>
      <w:r>
        <w:rPr>
          <w:rFonts w:ascii="Arial" w:cs="Arial" w:eastAsia="Arial" w:hAnsi="Arial"/>
          <w:color w:val="1c1c1c"/>
          <w:sz w:val="22"/>
          <w:szCs w:val="22"/>
        </w:rPr>
        <w:t xml:space="preserve">This role will grow significantly as the enterprise expands. The expectation is that Grace builds deep familiarity with every spoke of the business over time, and becomes the internal financial reference point that Aileen and Aidan rely on for real-time business intelligence.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WORKING RELATIONSHIP</w:t>
            </w:r>
          </w:p>
        </w:tc>
        <w:tc>
          <w:tcPr>
            <w:tcW w:type="dxa" w:w="79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Grace works closely with the agricultural tax accountant — providing data, responding to queries, and implementing the accounting structure the specialist recommends. Any disagreement between Grace's records and the specialist's requirements is resolved in consultation with Aileen.</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1.  Daily Transaction Recording</w:t>
      </w:r>
    </w:p>
    <w:p>
      <w:pPr>
        <w:pStyle w:val="ListParagraph"/>
        <w:numPr>
          <w:ilvl w:val="0"/>
          <w:numId w:val="2"/>
        </w:numPr>
        <w:spacing w:before="60" w:after="60"/>
      </w:pPr>
      <w:r>
        <w:rPr>
          <w:rFonts w:ascii="Arial" w:cs="Arial" w:eastAsia="Arial" w:hAnsi="Arial"/>
          <w:color w:val="1c1c1c"/>
          <w:sz w:val="22"/>
          <w:szCs w:val="22"/>
        </w:rPr>
        <w:t xml:space="preserve">Record all transactions in Loyverse POS on the day they occur — no backlogs</w:t>
      </w:r>
    </w:p>
    <w:p>
      <w:pPr>
        <w:pStyle w:val="ListParagraph"/>
        <w:numPr>
          <w:ilvl w:val="0"/>
          <w:numId w:val="2"/>
        </w:numPr>
        <w:spacing w:before="60" w:after="60"/>
      </w:pPr>
      <w:r>
        <w:rPr>
          <w:rFonts w:ascii="Arial" w:cs="Arial" w:eastAsia="Arial" w:hAnsi="Arial"/>
          <w:color w:val="1c1c1c"/>
          <w:sz w:val="22"/>
          <w:szCs w:val="22"/>
        </w:rPr>
        <w:t xml:space="preserve">Asset entries created on the same day invoices are paid — no exceptions, no catch-up entries</w:t>
      </w:r>
    </w:p>
    <w:p>
      <w:pPr>
        <w:pStyle w:val="ListParagraph"/>
        <w:numPr>
          <w:ilvl w:val="0"/>
          <w:numId w:val="2"/>
        </w:numPr>
        <w:spacing w:before="60" w:after="60"/>
      </w:pPr>
      <w:r>
        <w:rPr>
          <w:rFonts w:ascii="Arial" w:cs="Arial" w:eastAsia="Arial" w:hAnsi="Arial"/>
          <w:color w:val="1c1c1c"/>
          <w:sz w:val="22"/>
          <w:szCs w:val="22"/>
        </w:rPr>
        <w:t xml:space="preserve">Inter-spoke transfers recorded correctly using the Loyverse loyalty card cashless system — no physical cash movement between departments</w:t>
      </w:r>
    </w:p>
    <w:p>
      <w:pPr>
        <w:pStyle w:val="ListParagraph"/>
        <w:numPr>
          <w:ilvl w:val="0"/>
          <w:numId w:val="2"/>
        </w:numPr>
        <w:spacing w:before="60" w:after="60"/>
      </w:pPr>
      <w:r>
        <w:rPr>
          <w:rFonts w:ascii="Arial" w:cs="Arial" w:eastAsia="Arial" w:hAnsi="Arial"/>
          <w:color w:val="1c1c1c"/>
          <w:sz w:val="22"/>
          <w:szCs w:val="22"/>
        </w:rPr>
        <w:t xml:space="preserve">All GCash and bank transfer receipts matched to transaction records daily</w:t>
      </w:r>
    </w:p>
    <w:p>
      <w:pPr>
        <w:pStyle w:val="ListParagraph"/>
        <w:numPr>
          <w:ilvl w:val="0"/>
          <w:numId w:val="2"/>
        </w:numPr>
        <w:spacing w:before="60" w:after="60"/>
      </w:pPr>
      <w:r>
        <w:rPr>
          <w:rFonts w:ascii="Arial" w:cs="Arial" w:eastAsia="Arial" w:hAnsi="Arial"/>
          <w:color w:val="1c1c1c"/>
          <w:sz w:val="22"/>
          <w:szCs w:val="22"/>
        </w:rPr>
        <w:t xml:space="preserve">Cash sales (where applicable at market and sari-sari) reconciled at end of each trading day</w:t>
      </w:r>
    </w:p>
    <w:p>
      <w:pPr>
        <w:pStyle w:val="ListParagraph"/>
        <w:numPr>
          <w:ilvl w:val="0"/>
          <w:numId w:val="2"/>
        </w:numPr>
        <w:spacing w:before="60" w:after="60"/>
      </w:pPr>
      <w:r>
        <w:rPr>
          <w:rFonts w:ascii="Arial" w:cs="Arial" w:eastAsia="Arial" w:hAnsi="Arial"/>
          <w:color w:val="1c1c1c"/>
          <w:sz w:val="22"/>
          <w:szCs w:val="22"/>
        </w:rPr>
        <w:t xml:space="preserve">Driver payments confirmed as GCash or bank transfer only — flag any cash handling immediately</w:t>
      </w:r>
    </w:p>
    <w:p>
      <w:pPr>
        <w:spacing w:before="80" w:after="80"/>
      </w:pPr>
    </w:p>
    <w:p>
      <w:pPr>
        <w:pStyle w:val="Heading2"/>
        <w:spacing w:before="240" w:after="100"/>
      </w:pPr>
      <w:r>
        <w:rPr>
          <w:rFonts w:ascii="Arial" w:cs="Arial" w:eastAsia="Arial" w:hAnsi="Arial"/>
          <w:b/>
          <w:bCs/>
          <w:color w:val="4a7c59"/>
          <w:sz w:val="24"/>
          <w:szCs w:val="24"/>
        </w:rPr>
        <w:t xml:space="preserve">2.  Payroll</w:t>
      </w:r>
    </w:p>
    <w:p>
      <w:pPr>
        <w:pStyle w:val="ListParagraph"/>
        <w:numPr>
          <w:ilvl w:val="0"/>
          <w:numId w:val="2"/>
        </w:numPr>
        <w:spacing w:before="60" w:after="60"/>
      </w:pPr>
      <w:r>
        <w:rPr>
          <w:rFonts w:ascii="Arial" w:cs="Arial" w:eastAsia="Arial" w:hAnsi="Arial"/>
          <w:color w:val="1c1c1c"/>
          <w:sz w:val="22"/>
          <w:szCs w:val="22"/>
        </w:rPr>
        <w:t xml:space="preserve">Process payroll for all permanent staff on the correct schedule</w:t>
      </w:r>
    </w:p>
    <w:p>
      <w:pPr>
        <w:pStyle w:val="ListParagraph"/>
        <w:numPr>
          <w:ilvl w:val="0"/>
          <w:numId w:val="2"/>
        </w:numPr>
        <w:spacing w:before="60" w:after="60"/>
      </w:pPr>
      <w:r>
        <w:rPr>
          <w:rFonts w:ascii="Arial" w:cs="Arial" w:eastAsia="Arial" w:hAnsi="Arial"/>
          <w:color w:val="1c1c1c"/>
          <w:sz w:val="22"/>
          <w:szCs w:val="22"/>
        </w:rPr>
        <w:t xml:space="preserve">Compute and remit SSS, PhilHealth, and Pag-IBIG contributions on time every month — no late penalties</w:t>
      </w:r>
    </w:p>
    <w:p>
      <w:pPr>
        <w:pStyle w:val="ListParagraph"/>
        <w:numPr>
          <w:ilvl w:val="0"/>
          <w:numId w:val="2"/>
        </w:numPr>
        <w:spacing w:before="60" w:after="60"/>
      </w:pPr>
      <w:r>
        <w:rPr>
          <w:rFonts w:ascii="Arial" w:cs="Arial" w:eastAsia="Arial" w:hAnsi="Arial"/>
          <w:color w:val="1c1c1c"/>
          <w:sz w:val="22"/>
          <w:szCs w:val="22"/>
        </w:rPr>
        <w:t xml:space="preserve">Compute and remit BIR withholding tax on compensation monthly (BIR Form 1601C)</w:t>
      </w:r>
    </w:p>
    <w:p>
      <w:pPr>
        <w:pStyle w:val="ListParagraph"/>
        <w:numPr>
          <w:ilvl w:val="0"/>
          <w:numId w:val="2"/>
        </w:numPr>
        <w:spacing w:before="60" w:after="60"/>
      </w:pPr>
      <w:r>
        <w:rPr>
          <w:rFonts w:ascii="Arial" w:cs="Arial" w:eastAsia="Arial" w:hAnsi="Arial"/>
          <w:color w:val="1c1c1c"/>
          <w:sz w:val="22"/>
          <w:szCs w:val="22"/>
        </w:rPr>
        <w:t xml:space="preserve">Prepare BIR Form 2316 for each employee at year end</w:t>
      </w:r>
    </w:p>
    <w:p>
      <w:pPr>
        <w:pStyle w:val="ListParagraph"/>
        <w:numPr>
          <w:ilvl w:val="0"/>
          <w:numId w:val="2"/>
        </w:numPr>
        <w:spacing w:before="60" w:after="60"/>
      </w:pPr>
      <w:r>
        <w:rPr>
          <w:rFonts w:ascii="Arial" w:cs="Arial" w:eastAsia="Arial" w:hAnsi="Arial"/>
          <w:color w:val="1c1c1c"/>
          <w:sz w:val="22"/>
          <w:szCs w:val="22"/>
        </w:rPr>
        <w:t xml:space="preserve">Maintain complete payroll records — time records, leave, 13th month computation</w:t>
      </w:r>
    </w:p>
    <w:p>
      <w:pPr>
        <w:pStyle w:val="ListParagraph"/>
        <w:numPr>
          <w:ilvl w:val="0"/>
          <w:numId w:val="2"/>
        </w:numPr>
        <w:spacing w:before="60" w:after="60"/>
      </w:pPr>
      <w:r>
        <w:rPr>
          <w:rFonts w:ascii="Arial" w:cs="Arial" w:eastAsia="Arial" w:hAnsi="Arial"/>
          <w:color w:val="1c1c1c"/>
          <w:sz w:val="22"/>
          <w:szCs w:val="22"/>
        </w:rPr>
        <w:t xml:space="preserve">Advise Aileen of any payroll compliance changes — minimum wage adjustments, new government contribution rates</w:t>
      </w:r>
    </w:p>
    <w:p>
      <w:pPr>
        <w:spacing w:before="80" w:after="80"/>
      </w:pPr>
    </w:p>
    <w:p>
      <w:pPr>
        <w:pStyle w:val="Heading2"/>
        <w:spacing w:before="240" w:after="100"/>
      </w:pPr>
      <w:r>
        <w:rPr>
          <w:rFonts w:ascii="Arial" w:cs="Arial" w:eastAsia="Arial" w:hAnsi="Arial"/>
          <w:b/>
          <w:bCs/>
          <w:color w:val="4a7c59"/>
          <w:sz w:val="24"/>
          <w:szCs w:val="24"/>
        </w:rPr>
        <w:t xml:space="preserve">3.  Accounts Payable and Receivable</w:t>
      </w:r>
    </w:p>
    <w:p>
      <w:pPr>
        <w:pStyle w:val="ListParagraph"/>
        <w:numPr>
          <w:ilvl w:val="0"/>
          <w:numId w:val="2"/>
        </w:numPr>
        <w:spacing w:before="60" w:after="60"/>
      </w:pPr>
      <w:r>
        <w:rPr>
          <w:rFonts w:ascii="Arial" w:cs="Arial" w:eastAsia="Arial" w:hAnsi="Arial"/>
          <w:color w:val="1c1c1c"/>
          <w:sz w:val="22"/>
          <w:szCs w:val="22"/>
        </w:rPr>
        <w:t xml:space="preserve">Record all supplier invoices on receipt — match to purchase orders where applicable</w:t>
      </w:r>
    </w:p>
    <w:p>
      <w:pPr>
        <w:pStyle w:val="ListParagraph"/>
        <w:numPr>
          <w:ilvl w:val="0"/>
          <w:numId w:val="2"/>
        </w:numPr>
        <w:spacing w:before="60" w:after="60"/>
      </w:pPr>
      <w:r>
        <w:rPr>
          <w:rFonts w:ascii="Arial" w:cs="Arial" w:eastAsia="Arial" w:hAnsi="Arial"/>
          <w:color w:val="1c1c1c"/>
          <w:sz w:val="22"/>
          <w:szCs w:val="22"/>
        </w:rPr>
        <w:t xml:space="preserve">Schedule and process supplier payments on agreed terms</w:t>
      </w:r>
    </w:p>
    <w:p>
      <w:pPr>
        <w:pStyle w:val="ListParagraph"/>
        <w:numPr>
          <w:ilvl w:val="0"/>
          <w:numId w:val="2"/>
        </w:numPr>
        <w:spacing w:before="60" w:after="60"/>
      </w:pPr>
      <w:r>
        <w:rPr>
          <w:rFonts w:ascii="Arial" w:cs="Arial" w:eastAsia="Arial" w:hAnsi="Arial"/>
          <w:color w:val="1c1c1c"/>
          <w:sz w:val="22"/>
          <w:szCs w:val="22"/>
        </w:rPr>
        <w:t xml:space="preserve">Expanded withholding tax computation on applicable supplier payments — remit monthly</w:t>
      </w:r>
    </w:p>
    <w:p>
      <w:pPr>
        <w:pStyle w:val="ListParagraph"/>
        <w:numPr>
          <w:ilvl w:val="0"/>
          <w:numId w:val="2"/>
        </w:numPr>
        <w:spacing w:before="60" w:after="60"/>
      </w:pPr>
      <w:r>
        <w:rPr>
          <w:rFonts w:ascii="Arial" w:cs="Arial" w:eastAsia="Arial" w:hAnsi="Arial"/>
          <w:color w:val="1c1c1c"/>
          <w:sz w:val="22"/>
          <w:szCs w:val="22"/>
        </w:rPr>
        <w:t xml:space="preserve">Track all outstanding receivables — café function deposits, wholesale customer accounts, delivery subscription payments</w:t>
      </w:r>
    </w:p>
    <w:p>
      <w:pPr>
        <w:pStyle w:val="ListParagraph"/>
        <w:numPr>
          <w:ilvl w:val="0"/>
          <w:numId w:val="2"/>
        </w:numPr>
        <w:spacing w:before="60" w:after="60"/>
      </w:pPr>
      <w:r>
        <w:rPr>
          <w:rFonts w:ascii="Arial" w:cs="Arial" w:eastAsia="Arial" w:hAnsi="Arial"/>
          <w:color w:val="1c1c1c"/>
          <w:sz w:val="22"/>
          <w:szCs w:val="22"/>
        </w:rPr>
        <w:t xml:space="preserve">Follow up overdue accounts promptly — report any significant overdue balances to Aileen weekly</w:t>
      </w:r>
    </w:p>
    <w:p>
      <w:pPr>
        <w:spacing w:before="80" w:after="80"/>
      </w:pPr>
    </w:p>
    <w:p>
      <w:pPr>
        <w:pStyle w:val="Heading2"/>
        <w:spacing w:before="240" w:after="100"/>
      </w:pPr>
      <w:r>
        <w:rPr>
          <w:rFonts w:ascii="Arial" w:cs="Arial" w:eastAsia="Arial" w:hAnsi="Arial"/>
          <w:b/>
          <w:bCs/>
          <w:color w:val="4a7c59"/>
          <w:sz w:val="24"/>
          <w:szCs w:val="24"/>
        </w:rPr>
        <w:t xml:space="preserve">4.  Asset Register</w:t>
      </w:r>
    </w:p>
    <w:p>
      <w:pPr>
        <w:pStyle w:val="ListParagraph"/>
        <w:numPr>
          <w:ilvl w:val="0"/>
          <w:numId w:val="2"/>
        </w:numPr>
        <w:spacing w:before="60" w:after="60"/>
      </w:pPr>
      <w:r>
        <w:rPr>
          <w:rFonts w:ascii="Arial" w:cs="Arial" w:eastAsia="Arial" w:hAnsi="Arial"/>
          <w:color w:val="1c1c1c"/>
          <w:sz w:val="22"/>
          <w:szCs w:val="22"/>
        </w:rPr>
        <w:t xml:space="preserve">Maintain the complete asset register across all asset classes — farm equipment, fleet, structures, aquaponic system, livestock (highest value animals)</w:t>
      </w:r>
    </w:p>
    <w:p>
      <w:pPr>
        <w:pStyle w:val="ListParagraph"/>
        <w:numPr>
          <w:ilvl w:val="0"/>
          <w:numId w:val="2"/>
        </w:numPr>
        <w:spacing w:before="60" w:after="60"/>
      </w:pPr>
      <w:r>
        <w:rPr>
          <w:rFonts w:ascii="Arial" w:cs="Arial" w:eastAsia="Arial" w:hAnsi="Arial"/>
          <w:color w:val="1c1c1c"/>
          <w:sz w:val="22"/>
          <w:szCs w:val="22"/>
        </w:rPr>
        <w:t xml:space="preserve">New asset entry on invoice payment date — no exceptions</w:t>
      </w:r>
    </w:p>
    <w:p>
      <w:pPr>
        <w:pStyle w:val="ListParagraph"/>
        <w:numPr>
          <w:ilvl w:val="0"/>
          <w:numId w:val="2"/>
        </w:numPr>
        <w:spacing w:before="60" w:after="60"/>
      </w:pPr>
      <w:r>
        <w:rPr>
          <w:rFonts w:ascii="Arial" w:cs="Arial" w:eastAsia="Arial" w:hAnsi="Arial"/>
          <w:color w:val="1c1c1c"/>
          <w:sz w:val="22"/>
          <w:szCs w:val="22"/>
        </w:rPr>
        <w:t xml:space="preserve">Assign correct asset codes per the enterprise system (e.g. FL-001 through FL-010 for fleet)</w:t>
      </w:r>
    </w:p>
    <w:p>
      <w:pPr>
        <w:pStyle w:val="ListParagraph"/>
        <w:numPr>
          <w:ilvl w:val="0"/>
          <w:numId w:val="2"/>
        </w:numPr>
        <w:spacing w:before="60" w:after="60"/>
      </w:pPr>
      <w:r>
        <w:rPr>
          <w:rFonts w:ascii="Arial" w:cs="Arial" w:eastAsia="Arial" w:hAnsi="Arial"/>
          <w:color w:val="1c1c1c"/>
          <w:sz w:val="22"/>
          <w:szCs w:val="22"/>
        </w:rPr>
        <w:t xml:space="preserve">Record purchase price, supplier, invoice number, date, and assigned depreciation rate for every entry</w:t>
      </w:r>
    </w:p>
    <w:p>
      <w:pPr>
        <w:pStyle w:val="ListParagraph"/>
        <w:numPr>
          <w:ilvl w:val="0"/>
          <w:numId w:val="2"/>
        </w:numPr>
        <w:spacing w:before="60" w:after="60"/>
      </w:pPr>
      <w:r>
        <w:rPr>
          <w:rFonts w:ascii="Arial" w:cs="Arial" w:eastAsia="Arial" w:hAnsi="Arial"/>
          <w:color w:val="1c1c1c"/>
          <w:sz w:val="22"/>
          <w:szCs w:val="22"/>
        </w:rPr>
        <w:t xml:space="preserve">Run bi-annual asset review in June and December — physical count against register, flag any discrepancies to Aileen</w:t>
      </w:r>
    </w:p>
    <w:p>
      <w:pPr>
        <w:pStyle w:val="ListParagraph"/>
        <w:numPr>
          <w:ilvl w:val="0"/>
          <w:numId w:val="2"/>
        </w:numPr>
        <w:spacing w:before="60" w:after="60"/>
      </w:pPr>
      <w:r>
        <w:rPr>
          <w:rFonts w:ascii="Arial" w:cs="Arial" w:eastAsia="Arial" w:hAnsi="Arial"/>
          <w:color w:val="1c1c1c"/>
          <w:sz w:val="22"/>
          <w:szCs w:val="22"/>
        </w:rPr>
        <w:t xml:space="preserve">Maintain depreciation schedules per rates advised by the agricultural tax accountant</w:t>
      </w:r>
    </w:p>
    <w:p>
      <w:pPr>
        <w:pStyle w:val="ListParagraph"/>
        <w:numPr>
          <w:ilvl w:val="0"/>
          <w:numId w:val="2"/>
        </w:numPr>
        <w:spacing w:before="60" w:after="60"/>
      </w:pPr>
      <w:r>
        <w:rPr>
          <w:rFonts w:ascii="Arial" w:cs="Arial" w:eastAsia="Arial" w:hAnsi="Arial"/>
          <w:color w:val="1c1c1c"/>
          <w:sz w:val="22"/>
          <w:szCs w:val="22"/>
        </w:rPr>
        <w:t xml:space="preserve">Manager's residence depreciation — 20 years straight line on construction cost — monthly depreciation entry</w:t>
      </w:r>
    </w:p>
    <w:p>
      <w:pPr>
        <w:spacing w:before="80" w:after="80"/>
      </w:pPr>
    </w:p>
    <w:p>
      <w:pPr>
        <w:pStyle w:val="Heading2"/>
        <w:spacing w:before="240" w:after="100"/>
      </w:pPr>
      <w:r>
        <w:rPr>
          <w:rFonts w:ascii="Arial" w:cs="Arial" w:eastAsia="Arial" w:hAnsi="Arial"/>
          <w:b/>
          <w:bCs/>
          <w:color w:val="4a7c59"/>
          <w:sz w:val="24"/>
          <w:szCs w:val="24"/>
        </w:rPr>
        <w:t xml:space="preserve">5.  Inventory and Stock</w:t>
      </w:r>
    </w:p>
    <w:p>
      <w:pPr>
        <w:pStyle w:val="ListParagraph"/>
        <w:numPr>
          <w:ilvl w:val="0"/>
          <w:numId w:val="2"/>
        </w:numPr>
        <w:spacing w:before="60" w:after="60"/>
      </w:pPr>
      <w:r>
        <w:rPr>
          <w:rFonts w:ascii="Arial" w:cs="Arial" w:eastAsia="Arial" w:hAnsi="Arial"/>
          <w:color w:val="1c1c1c"/>
          <w:sz w:val="22"/>
          <w:szCs w:val="22"/>
        </w:rPr>
        <w:t xml:space="preserve">Maintain stock records for the feeds and supply spoke, market and sari-sari, and bakery</w:t>
      </w:r>
    </w:p>
    <w:p>
      <w:pPr>
        <w:pStyle w:val="ListParagraph"/>
        <w:numPr>
          <w:ilvl w:val="0"/>
          <w:numId w:val="2"/>
        </w:numPr>
        <w:spacing w:before="60" w:after="60"/>
      </w:pPr>
      <w:r>
        <w:rPr>
          <w:rFonts w:ascii="Arial" w:cs="Arial" w:eastAsia="Arial" w:hAnsi="Arial"/>
          <w:color w:val="1c1c1c"/>
          <w:sz w:val="22"/>
          <w:szCs w:val="22"/>
        </w:rPr>
        <w:t xml:space="preserve">Use the three-part item code system (DEPT-CAT-SEQ) for all inventory entries in Loyverse</w:t>
      </w:r>
    </w:p>
    <w:p>
      <w:pPr>
        <w:pStyle w:val="ListParagraph"/>
        <w:numPr>
          <w:ilvl w:val="0"/>
          <w:numId w:val="2"/>
        </w:numPr>
        <w:spacing w:before="60" w:after="60"/>
      </w:pPr>
      <w:r>
        <w:rPr>
          <w:rFonts w:ascii="Arial" w:cs="Arial" w:eastAsia="Arial" w:hAnsi="Arial"/>
          <w:color w:val="1c1c1c"/>
          <w:sz w:val="22"/>
          <w:szCs w:val="22"/>
        </w:rPr>
        <w:t xml:space="preserve">Stock Type column maintained correctly — raw material, finished goods, resale item</w:t>
      </w:r>
    </w:p>
    <w:p>
      <w:pPr>
        <w:pStyle w:val="ListParagraph"/>
        <w:numPr>
          <w:ilvl w:val="0"/>
          <w:numId w:val="2"/>
        </w:numPr>
        <w:spacing w:before="60" w:after="60"/>
      </w:pPr>
      <w:r>
        <w:rPr>
          <w:rFonts w:ascii="Arial" w:cs="Arial" w:eastAsia="Arial" w:hAnsi="Arial"/>
          <w:color w:val="1c1c1c"/>
          <w:sz w:val="22"/>
          <w:szCs w:val="22"/>
        </w:rPr>
        <w:t xml:space="preserve">Seasonal and perishable items managed with appropriate stock-in and write-off procedures</w:t>
      </w:r>
    </w:p>
    <w:p>
      <w:pPr>
        <w:pStyle w:val="ListParagraph"/>
        <w:numPr>
          <w:ilvl w:val="0"/>
          <w:numId w:val="2"/>
        </w:numPr>
        <w:spacing w:before="60" w:after="60"/>
      </w:pPr>
      <w:r>
        <w:rPr>
          <w:rFonts w:ascii="Arial" w:cs="Arial" w:eastAsia="Arial" w:hAnsi="Arial"/>
          <w:color w:val="1c1c1c"/>
          <w:sz w:val="22"/>
          <w:szCs w:val="22"/>
        </w:rPr>
        <w:t xml:space="preserve">Low stock alerts communicated to relevant spoke operator before stock runs out — not after</w:t>
      </w:r>
    </w:p>
    <w:p>
      <w:pPr>
        <w:pStyle w:val="ListParagraph"/>
        <w:numPr>
          <w:ilvl w:val="0"/>
          <w:numId w:val="2"/>
        </w:numPr>
        <w:spacing w:before="60" w:after="60"/>
      </w:pPr>
      <w:r>
        <w:rPr>
          <w:rFonts w:ascii="Arial" w:cs="Arial" w:eastAsia="Arial" w:hAnsi="Arial"/>
          <w:color w:val="1c1c1c"/>
          <w:sz w:val="22"/>
          <w:szCs w:val="22"/>
        </w:rPr>
        <w:t xml:space="preserve">Delivery box produce values recorded at farm-gate price for internal transfer purposes</w:t>
      </w:r>
    </w:p>
    <w:p>
      <w:pPr>
        <w:spacing w:before="80" w:after="80"/>
      </w:pPr>
    </w:p>
    <w:p>
      <w:pPr>
        <w:pStyle w:val="Heading2"/>
        <w:spacing w:before="240" w:after="100"/>
      </w:pPr>
      <w:r>
        <w:rPr>
          <w:rFonts w:ascii="Arial" w:cs="Arial" w:eastAsia="Arial" w:hAnsi="Arial"/>
          <w:b/>
          <w:bCs/>
          <w:color w:val="4a7c59"/>
          <w:sz w:val="24"/>
          <w:szCs w:val="24"/>
        </w:rPr>
        <w:t xml:space="preserve">6.  Financial Reporting</w:t>
      </w:r>
    </w:p>
    <w:p>
      <w:pPr>
        <w:pStyle w:val="ListParagraph"/>
        <w:numPr>
          <w:ilvl w:val="0"/>
          <w:numId w:val="2"/>
        </w:numPr>
        <w:spacing w:before="60" w:after="60"/>
      </w:pPr>
      <w:r>
        <w:rPr>
          <w:rFonts w:ascii="Arial" w:cs="Arial" w:eastAsia="Arial" w:hAnsi="Arial"/>
          <w:color w:val="1c1c1c"/>
          <w:sz w:val="22"/>
          <w:szCs w:val="22"/>
        </w:rPr>
        <w:t xml:space="preserve">Monthly profit and loss report to Aileen and Aidan — by the 10th of the following month</w:t>
      </w:r>
    </w:p>
    <w:p>
      <w:pPr>
        <w:pStyle w:val="ListParagraph"/>
        <w:numPr>
          <w:ilvl w:val="0"/>
          <w:numId w:val="2"/>
        </w:numPr>
        <w:spacing w:before="60" w:after="60"/>
      </w:pPr>
      <w:r>
        <w:rPr>
          <w:rFonts w:ascii="Arial" w:cs="Arial" w:eastAsia="Arial" w:hAnsi="Arial"/>
          <w:color w:val="1c1c1c"/>
          <w:sz w:val="22"/>
          <w:szCs w:val="22"/>
        </w:rPr>
        <w:t xml:space="preserve">Monthly cash flow summary — actuals against expected income from each spoke</w:t>
      </w:r>
    </w:p>
    <w:p>
      <w:pPr>
        <w:pStyle w:val="ListParagraph"/>
        <w:numPr>
          <w:ilvl w:val="0"/>
          <w:numId w:val="2"/>
        </w:numPr>
        <w:spacing w:before="60" w:after="60"/>
      </w:pPr>
      <w:r>
        <w:rPr>
          <w:rFonts w:ascii="Arial" w:cs="Arial" w:eastAsia="Arial" w:hAnsi="Arial"/>
          <w:color w:val="1c1c1c"/>
          <w:sz w:val="22"/>
          <w:szCs w:val="22"/>
        </w:rPr>
        <w:t xml:space="preserve">Spoke-by-spoke revenue breakdown — Alejandro's Café, market, deliveries, livestock, produce, bakery</w:t>
      </w:r>
    </w:p>
    <w:p>
      <w:pPr>
        <w:pStyle w:val="ListParagraph"/>
        <w:numPr>
          <w:ilvl w:val="0"/>
          <w:numId w:val="2"/>
        </w:numPr>
        <w:spacing w:before="60" w:after="60"/>
      </w:pPr>
      <w:r>
        <w:rPr>
          <w:rFonts w:ascii="Arial" w:cs="Arial" w:eastAsia="Arial" w:hAnsi="Arial"/>
          <w:color w:val="1c1c1c"/>
          <w:sz w:val="22"/>
          <w:szCs w:val="22"/>
        </w:rPr>
        <w:t xml:space="preserve">Fleet operating cost summary monthly — fuel, maintenance, finance repayments per vehicle</w:t>
      </w:r>
    </w:p>
    <w:p>
      <w:pPr>
        <w:pStyle w:val="ListParagraph"/>
        <w:numPr>
          <w:ilvl w:val="0"/>
          <w:numId w:val="2"/>
        </w:numPr>
        <w:spacing w:before="60" w:after="60"/>
      </w:pPr>
      <w:r>
        <w:rPr>
          <w:rFonts w:ascii="Arial" w:cs="Arial" w:eastAsia="Arial" w:hAnsi="Arial"/>
          <w:color w:val="1c1c1c"/>
          <w:sz w:val="22"/>
          <w:szCs w:val="22"/>
        </w:rPr>
        <w:t xml:space="preserve">Quarterly report to the agricultural tax accountant — Loyverse data export, asset register, payroll summary, inter-spoke transfer reconciliation</w:t>
      </w:r>
    </w:p>
    <w:p>
      <w:pPr>
        <w:pStyle w:val="ListParagraph"/>
        <w:numPr>
          <w:ilvl w:val="0"/>
          <w:numId w:val="2"/>
        </w:numPr>
        <w:spacing w:before="60" w:after="60"/>
      </w:pPr>
      <w:r>
        <w:rPr>
          <w:rFonts w:ascii="Arial" w:cs="Arial" w:eastAsia="Arial" w:hAnsi="Arial"/>
          <w:color w:val="1c1c1c"/>
          <w:sz w:val="22"/>
          <w:szCs w:val="22"/>
        </w:rPr>
        <w:t xml:space="preserve">Ad hoc reports as requested by Aileen and Aidan — the books should be able to answer any financial question about the business within 24 hours</w:t>
      </w:r>
    </w:p>
    <w:p>
      <w:pPr>
        <w:spacing w:before="80" w:after="80"/>
      </w:pPr>
    </w:p>
    <w:p>
      <w:pPr>
        <w:pStyle w:val="Heading2"/>
        <w:spacing w:before="240" w:after="100"/>
      </w:pPr>
      <w:r>
        <w:rPr>
          <w:rFonts w:ascii="Arial" w:cs="Arial" w:eastAsia="Arial" w:hAnsi="Arial"/>
          <w:b/>
          <w:bCs/>
          <w:color w:val="4a7c59"/>
          <w:sz w:val="24"/>
          <w:szCs w:val="24"/>
        </w:rPr>
        <w:t xml:space="preserve">7.  BIR Compliance Support</w:t>
      </w:r>
    </w:p>
    <w:p>
      <w:pPr>
        <w:pStyle w:val="ListParagraph"/>
        <w:numPr>
          <w:ilvl w:val="0"/>
          <w:numId w:val="2"/>
        </w:numPr>
        <w:spacing w:before="60" w:after="60"/>
      </w:pPr>
      <w:r>
        <w:rPr>
          <w:rFonts w:ascii="Arial" w:cs="Arial" w:eastAsia="Arial" w:hAnsi="Arial"/>
          <w:color w:val="1c1c1c"/>
          <w:sz w:val="22"/>
          <w:szCs w:val="22"/>
        </w:rPr>
        <w:t xml:space="preserve">Maintain BIR-compliant books of accounts as specified by the agricultural tax accountant</w:t>
      </w:r>
    </w:p>
    <w:p>
      <w:pPr>
        <w:pStyle w:val="ListParagraph"/>
        <w:numPr>
          <w:ilvl w:val="0"/>
          <w:numId w:val="2"/>
        </w:numPr>
        <w:spacing w:before="60" w:after="60"/>
      </w:pPr>
      <w:r>
        <w:rPr>
          <w:rFonts w:ascii="Arial" w:cs="Arial" w:eastAsia="Arial" w:hAnsi="Arial"/>
          <w:color w:val="1c1c1c"/>
          <w:sz w:val="22"/>
          <w:szCs w:val="22"/>
        </w:rPr>
        <w:t xml:space="preserve">Ensure official receipts and sales invoices are correctly issued for all applicable transactions</w:t>
      </w:r>
    </w:p>
    <w:p>
      <w:pPr>
        <w:pStyle w:val="ListParagraph"/>
        <w:numPr>
          <w:ilvl w:val="0"/>
          <w:numId w:val="2"/>
        </w:numPr>
        <w:spacing w:before="60" w:after="60"/>
      </w:pPr>
      <w:r>
        <w:rPr>
          <w:rFonts w:ascii="Arial" w:cs="Arial" w:eastAsia="Arial" w:hAnsi="Arial"/>
          <w:color w:val="1c1c1c"/>
          <w:sz w:val="22"/>
          <w:szCs w:val="22"/>
        </w:rPr>
        <w:t xml:space="preserve">Prepare data and reports for all BIR filings — the specialist files, Grace prepares the underlying data</w:t>
      </w:r>
    </w:p>
    <w:p>
      <w:pPr>
        <w:pStyle w:val="ListParagraph"/>
        <w:numPr>
          <w:ilvl w:val="0"/>
          <w:numId w:val="2"/>
        </w:numPr>
        <w:spacing w:before="60" w:after="60"/>
      </w:pPr>
      <w:r>
        <w:rPr>
          <w:rFonts w:ascii="Arial" w:cs="Arial" w:eastAsia="Arial" w:hAnsi="Arial"/>
          <w:color w:val="1c1c1c"/>
          <w:sz w:val="22"/>
          <w:szCs w:val="22"/>
        </w:rPr>
        <w:t xml:space="preserve">Maintain a BIR compliance calendar and alert the specialist of upcoming filing deadlines 2 weeks in advance</w:t>
      </w:r>
    </w:p>
    <w:p>
      <w:pPr>
        <w:pStyle w:val="ListParagraph"/>
        <w:numPr>
          <w:ilvl w:val="0"/>
          <w:numId w:val="2"/>
        </w:numPr>
        <w:spacing w:before="60" w:after="60"/>
      </w:pPr>
      <w:r>
        <w:rPr>
          <w:rFonts w:ascii="Arial" w:cs="Arial" w:eastAsia="Arial" w:hAnsi="Arial"/>
          <w:color w:val="1c1c1c"/>
          <w:sz w:val="22"/>
          <w:szCs w:val="22"/>
        </w:rPr>
        <w:t xml:space="preserve">Store all BIR-related documents — returns, receipts, notices — in organised files both physical and digital</w:t>
      </w:r>
    </w:p>
    <w:p>
      <w:pPr>
        <w:spacing w:before="80" w:after="80"/>
      </w:pPr>
    </w:p>
    <w:p>
      <w:pPr>
        <w:pStyle w:val="Heading2"/>
        <w:spacing w:before="240" w:after="100"/>
      </w:pPr>
      <w:r>
        <w:rPr>
          <w:rFonts w:ascii="Arial" w:cs="Arial" w:eastAsia="Arial" w:hAnsi="Arial"/>
          <w:b/>
          <w:bCs/>
          <w:color w:val="4a7c59"/>
          <w:sz w:val="24"/>
          <w:szCs w:val="24"/>
        </w:rPr>
        <w:t xml:space="preserve">8.  Credit and Ecosystem Value Management</w:t>
      </w:r>
    </w:p>
    <w:p>
      <w:pPr>
        <w:pStyle w:val="ListParagraph"/>
        <w:numPr>
          <w:ilvl w:val="0"/>
          <w:numId w:val="2"/>
        </w:numPr>
        <w:spacing w:before="60" w:after="60"/>
      </w:pPr>
      <w:r>
        <w:rPr>
          <w:rFonts w:ascii="Arial" w:cs="Arial" w:eastAsia="Arial" w:hAnsi="Arial"/>
          <w:color w:val="1c1c1c"/>
          <w:sz w:val="22"/>
          <w:szCs w:val="22"/>
        </w:rPr>
        <w:t xml:space="preserve">Understand and apply the enterprise credit policy — credit is valued 15–20% above cash to keep value inside the ecosystem</w:t>
      </w:r>
    </w:p>
    <w:p>
      <w:pPr>
        <w:pStyle w:val="ListParagraph"/>
        <w:numPr>
          <w:ilvl w:val="0"/>
          <w:numId w:val="2"/>
        </w:numPr>
        <w:spacing w:before="60" w:after="60"/>
      </w:pPr>
      <w:r>
        <w:rPr>
          <w:rFonts w:ascii="Arial" w:cs="Arial" w:eastAsia="Arial" w:hAnsi="Arial"/>
          <w:color w:val="1c1c1c"/>
          <w:sz w:val="22"/>
          <w:szCs w:val="22"/>
        </w:rPr>
        <w:t xml:space="preserve">Track all loyalty card balances across the Loyverse system — no unrecorded credit issued</w:t>
      </w:r>
    </w:p>
    <w:p>
      <w:pPr>
        <w:pStyle w:val="ListParagraph"/>
        <w:numPr>
          <w:ilvl w:val="0"/>
          <w:numId w:val="2"/>
        </w:numPr>
        <w:spacing w:before="60" w:after="60"/>
      </w:pPr>
      <w:r>
        <w:rPr>
          <w:rFonts w:ascii="Arial" w:cs="Arial" w:eastAsia="Arial" w:hAnsi="Arial"/>
          <w:color w:val="1c1c1c"/>
          <w:sz w:val="22"/>
          <w:szCs w:val="22"/>
        </w:rPr>
        <w:t xml:space="preserve">Reconcile inter-spoke Loyverse loyalty card transfers monthly — confirm that value moving between departments matches the recorded transfers</w:t>
      </w:r>
    </w:p>
    <w:p>
      <w:pPr>
        <w:pStyle w:val="ListParagraph"/>
        <w:numPr>
          <w:ilvl w:val="0"/>
          <w:numId w:val="2"/>
        </w:numPr>
        <w:spacing w:before="60" w:after="60"/>
      </w:pPr>
      <w:r>
        <w:rPr>
          <w:rFonts w:ascii="Arial" w:cs="Arial" w:eastAsia="Arial" w:hAnsi="Arial"/>
          <w:color w:val="1c1c1c"/>
          <w:sz w:val="22"/>
          <w:szCs w:val="22"/>
        </w:rPr>
        <w:t xml:space="preserve">Report any discrepancy between physical stock movement and Loyverse records immediately</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Tools and Systems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Loyverse POS — primary transaction and inventory platform. Grace must be proficient in all Loyverse functions including the loyalty card system, stock management, and reporting exports</w:t>
      </w:r>
    </w:p>
    <w:p>
      <w:pPr>
        <w:pStyle w:val="ListParagraph"/>
        <w:numPr>
          <w:ilvl w:val="0"/>
          <w:numId w:val="2"/>
        </w:numPr>
        <w:spacing w:before="60" w:after="60"/>
      </w:pPr>
      <w:r>
        <w:rPr>
          <w:rFonts w:ascii="Arial" w:cs="Arial" w:eastAsia="Arial" w:hAnsi="Arial"/>
          <w:color w:val="1c1c1c"/>
          <w:sz w:val="22"/>
          <w:szCs w:val="22"/>
        </w:rPr>
        <w:t xml:space="preserve">Microsoft Excel — master workbook with eight-plus tabs covering all financial schedules. Grace maintains and updates this workbook</w:t>
      </w:r>
    </w:p>
    <w:p>
      <w:pPr>
        <w:pStyle w:val="ListParagraph"/>
        <w:numPr>
          <w:ilvl w:val="0"/>
          <w:numId w:val="2"/>
        </w:numPr>
        <w:spacing w:before="60" w:after="60"/>
      </w:pPr>
      <w:r>
        <w:rPr>
          <w:rFonts w:ascii="Arial" w:cs="Arial" w:eastAsia="Arial" w:hAnsi="Arial"/>
          <w:color w:val="1c1c1c"/>
          <w:sz w:val="22"/>
          <w:szCs w:val="22"/>
        </w:rPr>
        <w:t xml:space="preserve">GCash and bank transfer records — daily matching against Loyverse transaction records</w:t>
      </w:r>
    </w:p>
    <w:p>
      <w:pPr>
        <w:pStyle w:val="ListParagraph"/>
        <w:numPr>
          <w:ilvl w:val="0"/>
          <w:numId w:val="2"/>
        </w:numPr>
        <w:spacing w:before="60" w:after="60"/>
      </w:pPr>
      <w:r>
        <w:rPr>
          <w:rFonts w:ascii="Arial" w:cs="Arial" w:eastAsia="Arial" w:hAnsi="Arial"/>
          <w:color w:val="1c1c1c"/>
          <w:sz w:val="22"/>
          <w:szCs w:val="22"/>
        </w:rPr>
        <w:t xml:space="preserve">BIR eFPS or eBIRForms — for filing support</w:t>
      </w:r>
    </w:p>
    <w:p>
      <w:pPr>
        <w:pStyle w:val="ListParagraph"/>
        <w:numPr>
          <w:ilvl w:val="0"/>
          <w:numId w:val="2"/>
        </w:numPr>
        <w:spacing w:before="60" w:after="60"/>
      </w:pPr>
      <w:r>
        <w:rPr>
          <w:rFonts w:ascii="Arial" w:cs="Arial" w:eastAsia="Arial" w:hAnsi="Arial"/>
          <w:color w:val="1c1c1c"/>
          <w:sz w:val="22"/>
          <w:szCs w:val="22"/>
        </w:rPr>
        <w:t xml:space="preserve">Physical ledgers — as required by BIR for books of accounts registration</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BSc Accountancy or equivalent — CPA preferred but not required for this role</w:t>
      </w:r>
    </w:p>
    <w:p>
      <w:pPr>
        <w:pStyle w:val="ListParagraph"/>
        <w:numPr>
          <w:ilvl w:val="0"/>
          <w:numId w:val="2"/>
        </w:numPr>
        <w:spacing w:before="60" w:after="60"/>
      </w:pPr>
      <w:r>
        <w:rPr>
          <w:rFonts w:ascii="Arial" w:cs="Arial" w:eastAsia="Arial" w:hAnsi="Arial"/>
          <w:color w:val="1c1c1c"/>
          <w:sz w:val="22"/>
          <w:szCs w:val="22"/>
        </w:rPr>
        <w:t xml:space="preserve">At least 2 years bookkeeping or accounting experience in a Philippine business context</w:t>
      </w:r>
    </w:p>
    <w:p>
      <w:pPr>
        <w:pStyle w:val="ListParagraph"/>
        <w:numPr>
          <w:ilvl w:val="0"/>
          <w:numId w:val="2"/>
        </w:numPr>
        <w:spacing w:before="60" w:after="60"/>
      </w:pPr>
      <w:r>
        <w:rPr>
          <w:rFonts w:ascii="Arial" w:cs="Arial" w:eastAsia="Arial" w:hAnsi="Arial"/>
          <w:color w:val="1c1c1c"/>
          <w:sz w:val="22"/>
          <w:szCs w:val="22"/>
        </w:rPr>
        <w:t xml:space="preserve">BIR compliance knowledge — withholding tax, SSS/PhilHealth/Pag-IBIG, payroll reporting</w:t>
      </w:r>
    </w:p>
    <w:p>
      <w:pPr>
        <w:pStyle w:val="ListParagraph"/>
        <w:numPr>
          <w:ilvl w:val="0"/>
          <w:numId w:val="2"/>
        </w:numPr>
        <w:spacing w:before="60" w:after="60"/>
      </w:pPr>
      <w:r>
        <w:rPr>
          <w:rFonts w:ascii="Arial" w:cs="Arial" w:eastAsia="Arial" w:hAnsi="Arial"/>
          <w:color w:val="1c1c1c"/>
          <w:sz w:val="22"/>
          <w:szCs w:val="22"/>
        </w:rPr>
        <w:t xml:space="preserve">Excel proficiency — not just basic entry, actual formula and workbook management</w:t>
      </w:r>
    </w:p>
    <w:p>
      <w:pPr>
        <w:pStyle w:val="ListParagraph"/>
        <w:numPr>
          <w:ilvl w:val="0"/>
          <w:numId w:val="2"/>
        </w:numPr>
        <w:spacing w:before="60" w:after="60"/>
      </w:pPr>
      <w:r>
        <w:rPr>
          <w:rFonts w:ascii="Arial" w:cs="Arial" w:eastAsia="Arial" w:hAnsi="Arial"/>
          <w:color w:val="1c1c1c"/>
          <w:sz w:val="22"/>
          <w:szCs w:val="22"/>
        </w:rPr>
        <w:t xml:space="preserve">Reliable and meticulous — the asset entry on invoice day rule and the no-backlog rule are non-negotiable</w:t>
      </w:r>
    </w:p>
    <w:p>
      <w:pPr>
        <w:pStyle w:val="ListParagraph"/>
        <w:numPr>
          <w:ilvl w:val="0"/>
          <w:numId w:val="2"/>
        </w:numPr>
        <w:spacing w:before="60" w:after="60"/>
      </w:pPr>
      <w:r>
        <w:rPr>
          <w:rFonts w:ascii="Arial" w:cs="Arial" w:eastAsia="Arial" w:hAnsi="Arial"/>
          <w:color w:val="1c1c1c"/>
          <w:sz w:val="22"/>
          <w:szCs w:val="22"/>
        </w:rPr>
        <w:t xml:space="preserve">Comfortable with digital payment systems — GCash, bank transfer reconciliation</w:t>
      </w:r>
    </w:p>
    <w:p>
      <w:pPr>
        <w:pStyle w:val="ListParagraph"/>
        <w:numPr>
          <w:ilvl w:val="0"/>
          <w:numId w:val="2"/>
        </w:numPr>
        <w:spacing w:before="60" w:after="60"/>
      </w:pPr>
      <w:r>
        <w:rPr>
          <w:rFonts w:ascii="Arial" w:cs="Arial" w:eastAsia="Arial" w:hAnsi="Arial"/>
          <w:color w:val="1c1c1c"/>
          <w:sz w:val="22"/>
          <w:szCs w:val="22"/>
        </w:rPr>
        <w:t xml:space="preserve">Discreet — financial records are confidential, Grace works with sensitive business information daily</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CPA qualification</w:t>
      </w:r>
    </w:p>
    <w:p>
      <w:pPr>
        <w:pStyle w:val="ListParagraph"/>
        <w:numPr>
          <w:ilvl w:val="0"/>
          <w:numId w:val="2"/>
        </w:numPr>
        <w:spacing w:before="60" w:after="60"/>
      </w:pPr>
      <w:r>
        <w:rPr>
          <w:rFonts w:ascii="Arial" w:cs="Arial" w:eastAsia="Arial" w:hAnsi="Arial"/>
          <w:color w:val="1c1c1c"/>
          <w:sz w:val="22"/>
          <w:szCs w:val="22"/>
        </w:rPr>
        <w:t xml:space="preserve">Experience with Loyverse POS or similar cloud-based POS accounting system</w:t>
      </w:r>
    </w:p>
    <w:p>
      <w:pPr>
        <w:pStyle w:val="ListParagraph"/>
        <w:numPr>
          <w:ilvl w:val="0"/>
          <w:numId w:val="2"/>
        </w:numPr>
        <w:spacing w:before="60" w:after="60"/>
      </w:pPr>
      <w:r>
        <w:rPr>
          <w:rFonts w:ascii="Arial" w:cs="Arial" w:eastAsia="Arial" w:hAnsi="Arial"/>
          <w:color w:val="1c1c1c"/>
          <w:sz w:val="22"/>
          <w:szCs w:val="22"/>
        </w:rPr>
        <w:t xml:space="preserve">Agricultural or food service business accounting experience</w:t>
      </w:r>
    </w:p>
    <w:p>
      <w:pPr>
        <w:pStyle w:val="ListParagraph"/>
        <w:numPr>
          <w:ilvl w:val="0"/>
          <w:numId w:val="2"/>
        </w:numPr>
        <w:spacing w:before="60" w:after="60"/>
      </w:pPr>
      <w:r>
        <w:rPr>
          <w:rFonts w:ascii="Arial" w:cs="Arial" w:eastAsia="Arial" w:hAnsi="Arial"/>
          <w:color w:val="1c1c1c"/>
          <w:sz w:val="22"/>
          <w:szCs w:val="22"/>
        </w:rPr>
        <w:t xml:space="preserve">Familiarity with multi-revenue-stream business accounting</w:t>
      </w:r>
    </w:p>
    <w:p>
      <w:pPr>
        <w:pStyle w:val="ListParagraph"/>
        <w:numPr>
          <w:ilvl w:val="0"/>
          <w:numId w:val="2"/>
        </w:numPr>
        <w:spacing w:before="60" w:after="60"/>
      </w:pPr>
      <w:r>
        <w:rPr>
          <w:rFonts w:ascii="Arial" w:cs="Arial" w:eastAsia="Arial" w:hAnsi="Arial"/>
          <w:color w:val="1c1c1c"/>
          <w:sz w:val="22"/>
          <w:szCs w:val="22"/>
        </w:rPr>
        <w:t xml:space="preserve">Local to Ragay or nearby — on-site daily is the expectation</w:t>
      </w:r>
    </w:p>
    <w:p>
      <w:pPr>
        <w:spacing w:before="80" w:after="80"/>
      </w:pPr>
    </w:p>
    <w:p>
      <w:pPr>
        <w:pStyle w:val="Heading2"/>
        <w:spacing w:before="240" w:after="100"/>
      </w:pPr>
      <w:r>
        <w:rPr>
          <w:rFonts w:ascii="Arial" w:cs="Arial" w:eastAsia="Arial" w:hAnsi="Arial"/>
          <w:b/>
          <w:bCs/>
          <w:color w:val="4a7c59"/>
          <w:sz w:val="24"/>
          <w:szCs w:val="24"/>
        </w:rPr>
        <w:t xml:space="preserve">What This Role Becomes</w:t>
      </w:r>
    </w:p>
    <w:p>
      <w:pPr>
        <w:spacing w:before="80" w:after="100"/>
      </w:pPr>
      <w:r>
        <w:rPr>
          <w:rFonts w:ascii="Arial" w:cs="Arial" w:eastAsia="Arial" w:hAnsi="Arial"/>
          <w:color w:val="1c1c1c"/>
          <w:sz w:val="22"/>
          <w:szCs w:val="22"/>
        </w:rPr>
        <w:t xml:space="preserve">As Grace builds familiarity with the enterprise across all twelve spokes, this role evolves into the senior internal financial role of the business. The expectation is that within 12–18 months Grace is the primary financial reference for Aileen and Aidan — able to answer any question about the financial position of any part of the business without needing to check with the specialist.</w:t>
      </w:r>
    </w:p>
    <w:p>
      <w:pPr>
        <w:spacing w:before="80" w:after="80"/>
      </w:pPr>
    </w:p>
    <w:p>
      <w:pPr>
        <w:spacing w:before="80" w:after="100"/>
      </w:pPr>
      <w:r>
        <w:rPr>
          <w:rFonts w:ascii="Arial" w:cs="Arial" w:eastAsia="Arial" w:hAnsi="Arial"/>
          <w:color w:val="1c1c1c"/>
          <w:sz w:val="22"/>
          <w:szCs w:val="22"/>
        </w:rPr>
        <w:t xml:space="preserve">The agricultural tax accountant handles the complex and the strategic. Grace owns the day-to-day and the real-time. Both are essential. Neither replaces the other.</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Offer</w:t>
      </w:r>
    </w:p>
    <w:p>
      <w:pPr>
        <w:pStyle w:val="ListParagraph"/>
        <w:numPr>
          <w:ilvl w:val="0"/>
          <w:numId w:val="2"/>
        </w:numPr>
        <w:spacing w:before="60" w:after="60"/>
      </w:pPr>
      <w:r>
        <w:rPr>
          <w:rFonts w:ascii="Arial" w:cs="Arial" w:eastAsia="Arial" w:hAnsi="Arial"/>
          <w:color w:val="1c1c1c"/>
          <w:sz w:val="22"/>
          <w:szCs w:val="22"/>
        </w:rPr>
        <w:t xml:space="preserve">Permanent full-time employment</w:t>
      </w:r>
    </w:p>
    <w:p>
      <w:pPr>
        <w:pStyle w:val="ListParagraph"/>
        <w:numPr>
          <w:ilvl w:val="0"/>
          <w:numId w:val="2"/>
        </w:numPr>
        <w:spacing w:before="60" w:after="60"/>
      </w:pPr>
      <w:r>
        <w:rPr>
          <w:rFonts w:ascii="Arial" w:cs="Arial" w:eastAsia="Arial" w:hAnsi="Arial"/>
          <w:color w:val="1c1c1c"/>
          <w:sz w:val="22"/>
          <w:szCs w:val="22"/>
        </w:rPr>
        <w:t xml:space="preserve">Competitive salary commensurate with qualifications and experience</w:t>
      </w:r>
    </w:p>
    <w:p>
      <w:pPr>
        <w:pStyle w:val="ListParagraph"/>
        <w:numPr>
          <w:ilvl w:val="0"/>
          <w:numId w:val="2"/>
        </w:numPr>
        <w:spacing w:before="60" w:after="60"/>
      </w:pPr>
      <w:r>
        <w:rPr>
          <w:rFonts w:ascii="Arial" w:cs="Arial" w:eastAsia="Arial" w:hAnsi="Arial"/>
          <w:color w:val="1c1c1c"/>
          <w:sz w:val="22"/>
          <w:szCs w:val="22"/>
        </w:rPr>
        <w:t xml:space="preserve">Direct working relationship with Aileen and Aidan Mulkerrins — no layers</w:t>
      </w:r>
    </w:p>
    <w:p>
      <w:pPr>
        <w:pStyle w:val="ListParagraph"/>
        <w:numPr>
          <w:ilvl w:val="0"/>
          <w:numId w:val="2"/>
        </w:numPr>
        <w:spacing w:before="60" w:after="60"/>
      </w:pPr>
      <w:r>
        <w:rPr>
          <w:rFonts w:ascii="Arial" w:cs="Arial" w:eastAsia="Arial" w:hAnsi="Arial"/>
          <w:color w:val="1c1c1c"/>
          <w:sz w:val="22"/>
          <w:szCs w:val="22"/>
        </w:rPr>
        <w:t xml:space="preserve">Exposure to a genuinely complex multi-spoke enterprise — better professional development than most provincial bookkeeping roles offer</w:t>
      </w:r>
    </w:p>
    <w:p>
      <w:pPr>
        <w:pStyle w:val="ListParagraph"/>
        <w:numPr>
          <w:ilvl w:val="0"/>
          <w:numId w:val="2"/>
        </w:numPr>
        <w:spacing w:before="60" w:after="60"/>
      </w:pPr>
      <w:r>
        <w:rPr>
          <w:rFonts w:ascii="Arial" w:cs="Arial" w:eastAsia="Arial" w:hAnsi="Arial"/>
          <w:color w:val="1c1c1c"/>
          <w:sz w:val="22"/>
          <w:szCs w:val="22"/>
        </w:rPr>
        <w:t xml:space="preserve">Clear growth path to senior finance role as the enterprise scales</w:t>
      </w:r>
    </w:p>
    <w:p>
      <w:pPr>
        <w:pStyle w:val="ListParagraph"/>
        <w:numPr>
          <w:ilvl w:val="0"/>
          <w:numId w:val="2"/>
        </w:numPr>
        <w:spacing w:before="60" w:after="60"/>
      </w:pPr>
      <w:r>
        <w:rPr>
          <w:rFonts w:ascii="Arial" w:cs="Arial" w:eastAsia="Arial" w:hAnsi="Arial"/>
          <w:color w:val="1c1c1c"/>
          <w:sz w:val="22"/>
          <w:szCs w:val="22"/>
        </w:rPr>
        <w:t xml:space="preserve">Daily produce allocation from the farm</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Mulkerrins — Registered Owner and CEO</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  |  Aileen Mulkerrins, Registered Owner</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Position Description: Local Accountant</w:t>
    </w:r>
    <w:r>
      <w:rPr>
        <w:rFonts w:ascii="Arial" w:cs="Arial" w:eastAsia="Arial" w:hAnsi="Arial"/>
        <w:sz w:val="18"/>
        <w:szCs w:val="18"/>
      </w:rPr>
      <w:t xml:space="preserve">	</w:t>
    </w:r>
    <w:r>
      <w:rPr>
        <w:rFonts w:ascii="Arial" w:cs="Arial" w:eastAsia="Arial" w:hAnsi="Arial"/>
        <w:color w:val="999999"/>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 w:type="paragraph" w:styleId="Heading3">
    <w:name w:val="Heading 3"/>
    <w:basedOn w:val="Normal"/>
    <w:next w:val="Normal"/>
    <w:qFormat/>
    <w:pPr>
      <w:spacing w:before="180" w:after="80"/>
      <w:outlineLvl w:val="2"/>
    </w:pPr>
    <w:rPr>
      <w:rFonts w:ascii="Arial" w:cs="Arial" w:eastAsia="Arial" w:hAnsi="Arial"/>
      <w:b/>
      <w:bCs/>
      <w:color w:val="00a8a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2026-03-15T04:20:11.099Z</dcterms:created>
  <dcterms:modified xsi:type="dcterms:W3CDTF">2026-03-15T04:20:11.099Z</dcterms:modified>
</cp:coreProperties>
</file>

<file path=docProps/custom.xml><?xml version="1.0" encoding="utf-8"?>
<Properties xmlns="http://schemas.openxmlformats.org/officeDocument/2006/custom-properties" xmlns:vt="http://schemas.openxmlformats.org/officeDocument/2006/docPropsVTypes"/>
</file>