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a" w:val="clear"/>
            <w:tcMar>
              <w:top w:type="dxa" w:w="220"/>
              <w:left w:type="dxa" w:w="320"/>
              <w:bottom w:type="dxa" w:w="220"/>
              <w:right w:type="dxa" w:w="320"/>
            </w:tcMar>
          </w:tcPr>
          <w:p>
            <w:pPr>
              <w:jc w:val="center"/>
            </w:pPr>
            <w:r>
              <w:rPr>
                <w:rFonts w:ascii="Arial" w:cs="Arial" w:eastAsia="Arial" w:hAnsi="Arial"/>
                <w:b/>
                <w:bCs/>
                <w:color w:val="ffffff"/>
                <w:sz w:val="44"/>
                <w:szCs w:val="44"/>
              </w:rPr>
              <w:t xml:space="preserve">LEGAL SERVICES BRIEF</w:t>
            </w:r>
          </w:p>
          <w:p>
            <w:pPr>
              <w:spacing w:before="80"/>
              <w:jc w:val="center"/>
            </w:pPr>
            <w:r>
              <w:rPr>
                <w:rFonts w:ascii="Arial" w:cs="Arial" w:eastAsia="Arial" w:hAnsi="Arial"/>
                <w:color w:val="B8D4BC"/>
                <w:sz w:val="22"/>
                <w:szCs w:val="22"/>
              </w:rPr>
              <w:t xml:space="preserve">Nana Bambi's Place  ·  Ragay, Camarines Sur, Bicol</w:t>
            </w:r>
          </w:p>
          <w:p>
            <w:pPr>
              <w:spacing w:before="40"/>
              <w:jc w:val="center"/>
            </w:pPr>
            <w:r>
              <w:rPr>
                <w:rFonts w:ascii="Arial" w:cs="Arial" w:eastAsia="Arial" w:hAnsi="Arial"/>
                <w:color w:val="9DC4A2"/>
                <w:sz w:val="20"/>
                <w:szCs w:val="20"/>
              </w:rPr>
              <w:t xml:space="preserve">Aileen Mulkerrins — Registered Owner and CEO  ·  Confidential</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Client</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Enterprise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Prepared By</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Nana Bambi's Place</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Ragay, Camarines Sur</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Aidan Mulkerrins — Operations</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Purpose of This Brief</w:t>
      </w:r>
    </w:p>
    <w:p>
      <w:pPr>
        <w:spacing w:before="80" w:after="100"/>
      </w:pPr>
      <w:r>
        <w:rPr>
          <w:rFonts w:ascii="Arial" w:cs="Arial" w:eastAsia="Arial" w:hAnsi="Arial"/>
          <w:color w:val="1c1c1c"/>
          <w:sz w:val="22"/>
          <w:szCs w:val="22"/>
        </w:rPr>
        <w:t xml:space="preserve">This document sets out the legal work required by Nana Bambi's Place as the enterprise establishes its operations in Ragay, Camarines Sur. We are seeking a lawyer with experience in Philippine property law, business registration, family land arrangements, and immigration — ideally based in Naga City or with regular Camarines Sur practice.</w:t>
      </w:r>
    </w:p>
    <w:p>
      <w:pPr>
        <w:spacing w:before="80" w:after="80"/>
      </w:pPr>
    </w:p>
    <w:p>
      <w:pPr>
        <w:spacing w:before="80" w:after="100"/>
      </w:pPr>
      <w:r>
        <w:rPr>
          <w:rFonts w:ascii="Arial" w:cs="Arial" w:eastAsia="Arial" w:hAnsi="Arial"/>
          <w:color w:val="1c1c1c"/>
          <w:sz w:val="22"/>
          <w:szCs w:val="22"/>
        </w:rPr>
        <w:t xml:space="preserve">All legal matters flow through Aileen Mulkerrins, the registered owner and CEO. The enterprise is registered and operated in her name. Aidan Mulkerrins is her husband and co-director but is not yet a Philippine resident and does not hold legal ownership of any assets at this stage.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1565c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PRIORITY</w:t>
            </w:r>
          </w:p>
        </w:tc>
        <w:tc>
          <w:tcPr>
            <w:tcW w:type="dxa" w:w="7960"/>
            <w:tcBorders>
              <w:top w:val="single" w:color="cdd8ce" w:sz="1"/>
              <w:left w:val="single" w:color="cdd8ce" w:sz="1"/>
              <w:bottom w:val="single" w:color="cdd8ce" w:sz="1"/>
              <w:right w:val="single" w:color="cdd8ce" w:sz="1"/>
            </w:tcBorders>
            <w:shd w:fill="E3F2FD" w:val="clear"/>
            <w:tcMar>
              <w:top w:type="dxa" w:w="100"/>
              <w:left w:type="dxa" w:w="160"/>
              <w:bottom w:type="dxa" w:w="100"/>
              <w:right w:type="dxa" w:w="160"/>
            </w:tcMar>
          </w:tcPr>
          <w:p>
            <w:r>
              <w:rPr>
                <w:rFonts w:ascii="Arial" w:cs="Arial" w:eastAsia="Arial" w:hAnsi="Arial"/>
                <w:color w:val="1c1c1c"/>
                <w:sz w:val="22"/>
                <w:szCs w:val="22"/>
              </w:rPr>
              <w:t xml:space="preserve">Items marked URGENT require attention before construction begins. All others are important but have longer timeframes.</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1.  Enterprise Registration and Structure</w:t>
      </w:r>
    </w:p>
    <w:p>
      <w:pPr>
        <w:spacing w:before="80" w:after="80"/>
      </w:pPr>
    </w:p>
    <w:p>
      <w:pPr>
        <w:pStyle w:val="Heading2"/>
        <w:spacing w:before="240" w:after="100"/>
      </w:pPr>
      <w:r>
        <w:rPr>
          <w:rFonts w:ascii="Arial" w:cs="Arial" w:eastAsia="Arial" w:hAnsi="Arial"/>
          <w:b/>
          <w:bCs/>
          <w:color w:val="4a7c59"/>
          <w:sz w:val="24"/>
          <w:szCs w:val="24"/>
        </w:rPr>
        <w:t xml:space="preserve">1.1  Business Registration — URGENT</w:t>
      </w:r>
    </w:p>
    <w:p>
      <w:pPr>
        <w:spacing w:before="80" w:after="100"/>
      </w:pPr>
      <w:r>
        <w:rPr>
          <w:rFonts w:ascii="Arial" w:cs="Arial" w:eastAsia="Arial" w:hAnsi="Arial"/>
          <w:color w:val="1c1c1c"/>
          <w:sz w:val="22"/>
          <w:szCs w:val="22"/>
        </w:rPr>
        <w:t xml:space="preserve">Nana Bambi's Place operates under Aileen Mulkerrins as the registered business owner. We require confirmation and advice on the correct registration structure for a vertically integrated agricultural enterprise operating across multiple revenue streams simultaneously — food service, retail, fresh produce, livestock, aquaponics, delivery, and market sales.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Confirm the correct DTI or SEC registration type for this scale of enterprise</w:t>
      </w:r>
    </w:p>
    <w:p>
      <w:pPr>
        <w:pStyle w:val="ListParagraph"/>
        <w:numPr>
          <w:ilvl w:val="0"/>
          <w:numId w:val="2"/>
        </w:numPr>
        <w:spacing w:before="60" w:after="60"/>
      </w:pPr>
      <w:r>
        <w:rPr>
          <w:rFonts w:ascii="Arial" w:cs="Arial" w:eastAsia="Arial" w:hAnsi="Arial"/>
          <w:color w:val="1c1c1c"/>
          <w:sz w:val="22"/>
          <w:szCs w:val="22"/>
        </w:rPr>
        <w:t xml:space="preserve">Advise on whether a single business registration covers all twelve operational spokes or whether separate registrations are required for specific activities (food service, livestock, aquaculture)</w:t>
      </w:r>
    </w:p>
    <w:p>
      <w:pPr>
        <w:pStyle w:val="ListParagraph"/>
        <w:numPr>
          <w:ilvl w:val="0"/>
          <w:numId w:val="2"/>
        </w:numPr>
        <w:spacing w:before="60" w:after="60"/>
      </w:pPr>
      <w:r>
        <w:rPr>
          <w:rFonts w:ascii="Arial" w:cs="Arial" w:eastAsia="Arial" w:hAnsi="Arial"/>
          <w:color w:val="1c1c1c"/>
          <w:sz w:val="22"/>
          <w:szCs w:val="22"/>
        </w:rPr>
        <w:t xml:space="preserve">Advise on BIR registration requirements — VAT threshold, appropriate tax type for agricultural and food service income</w:t>
      </w:r>
    </w:p>
    <w:p>
      <w:pPr>
        <w:pStyle w:val="ListParagraph"/>
        <w:numPr>
          <w:ilvl w:val="0"/>
          <w:numId w:val="2"/>
        </w:numPr>
        <w:spacing w:before="60" w:after="60"/>
      </w:pPr>
      <w:r>
        <w:rPr>
          <w:rFonts w:ascii="Arial" w:cs="Arial" w:eastAsia="Arial" w:hAnsi="Arial"/>
          <w:color w:val="1c1c1c"/>
          <w:sz w:val="22"/>
          <w:szCs w:val="22"/>
        </w:rPr>
        <w:t xml:space="preserve">Advise on any required permits from LGU Ragay and Camarines Sur provincial government for the aquaponic system, livestock operations, and food service</w:t>
      </w:r>
    </w:p>
    <w:p>
      <w:pPr>
        <w:pStyle w:val="ListParagraph"/>
        <w:numPr>
          <w:ilvl w:val="0"/>
          <w:numId w:val="2"/>
        </w:numPr>
        <w:spacing w:before="60" w:after="60"/>
      </w:pPr>
      <w:r>
        <w:rPr>
          <w:rFonts w:ascii="Arial" w:cs="Arial" w:eastAsia="Arial" w:hAnsi="Arial"/>
          <w:color w:val="1c1c1c"/>
          <w:sz w:val="22"/>
          <w:szCs w:val="22"/>
        </w:rPr>
        <w:t xml:space="preserve">Advise on DA (Department of Agriculture) registration requirements for the aquaponic and livestock operations</w:t>
      </w:r>
    </w:p>
    <w:p>
      <w:pPr>
        <w:spacing w:before="80" w:after="80"/>
      </w:pPr>
    </w:p>
    <w:p>
      <w:pPr>
        <w:pStyle w:val="Heading2"/>
        <w:spacing w:before="240" w:after="100"/>
      </w:pPr>
      <w:r>
        <w:rPr>
          <w:rFonts w:ascii="Arial" w:cs="Arial" w:eastAsia="Arial" w:hAnsi="Arial"/>
          <w:b/>
          <w:bCs/>
          <w:color w:val="4a7c59"/>
          <w:sz w:val="24"/>
          <w:szCs w:val="24"/>
        </w:rPr>
        <w:t xml:space="preserve">1.2  Succession and Trustee Designation</w:t>
      </w:r>
    </w:p>
    <w:p>
      <w:pPr>
        <w:spacing w:before="80" w:after="100"/>
      </w:pPr>
      <w:r>
        <w:rPr>
          <w:rFonts w:ascii="Arial" w:cs="Arial" w:eastAsia="Arial" w:hAnsi="Arial"/>
          <w:color w:val="1c1c1c"/>
          <w:sz w:val="22"/>
          <w:szCs w:val="22"/>
        </w:rPr>
        <w:t xml:space="preserve">Aileen and Aidan Mulkerrins have nominated their daughter Brighde Mulkerrins as successor trustee for the enterprise. Brighde is a Filipino citizen.</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Advise on the correct instrument to formalise Brighde's designation as successor trustee</w:t>
      </w:r>
    </w:p>
    <w:p>
      <w:pPr>
        <w:pStyle w:val="ListParagraph"/>
        <w:numPr>
          <w:ilvl w:val="0"/>
          <w:numId w:val="2"/>
        </w:numPr>
        <w:spacing w:before="60" w:after="60"/>
      </w:pPr>
      <w:r>
        <w:rPr>
          <w:rFonts w:ascii="Arial" w:cs="Arial" w:eastAsia="Arial" w:hAnsi="Arial"/>
          <w:color w:val="1c1c1c"/>
          <w:sz w:val="22"/>
          <w:szCs w:val="22"/>
        </w:rPr>
        <w:t xml:space="preserve">Ensure this designation is consistent with the enterprise registration structure</w:t>
      </w:r>
    </w:p>
    <w:p>
      <w:pPr>
        <w:pStyle w:val="ListParagraph"/>
        <w:numPr>
          <w:ilvl w:val="0"/>
          <w:numId w:val="2"/>
        </w:numPr>
        <w:spacing w:before="60" w:after="60"/>
      </w:pPr>
      <w:r>
        <w:rPr>
          <w:rFonts w:ascii="Arial" w:cs="Arial" w:eastAsia="Arial" w:hAnsi="Arial"/>
          <w:color w:val="1c1c1c"/>
          <w:sz w:val="22"/>
          <w:szCs w:val="22"/>
        </w:rPr>
        <w:t xml:space="preserve">Advise on whether a trust deed or will amendment is the appropriate vehicle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2.  Land and Property — URGENT</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CONTEXT</w:t>
            </w:r>
          </w:p>
        </w:tc>
        <w:tc>
          <w:tcPr>
            <w:tcW w:type="dxa" w:w="79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All land associated with Nana Bambi's Place is registered in Filipino family members' names. Aidan Mulkerrins is not on any title and does not seek to be. All property work is on behalf of Aileen Mulkerrins and her family.</w:t>
            </w:r>
          </w:p>
        </w:tc>
      </w:tr>
    </w:tbl>
    <w:p>
      <w:pPr>
        <w:spacing w:before="80" w:after="80"/>
      </w:pPr>
    </w:p>
    <w:p>
      <w:pPr>
        <w:pStyle w:val="Heading2"/>
        <w:spacing w:before="240" w:after="100"/>
      </w:pPr>
      <w:r>
        <w:rPr>
          <w:rFonts w:ascii="Arial" w:cs="Arial" w:eastAsia="Arial" w:hAnsi="Arial"/>
          <w:b/>
          <w:bCs/>
          <w:color w:val="4a7c59"/>
          <w:sz w:val="24"/>
          <w:szCs w:val="24"/>
        </w:rPr>
        <w:t xml:space="preserve">2.1  Hub Land — Inandawa / F. Simeon</w:t>
      </w:r>
    </w:p>
    <w:p>
      <w:pPr>
        <w:spacing w:before="80" w:after="100"/>
      </w:pPr>
      <w:r>
        <w:rPr>
          <w:rFonts w:ascii="Arial" w:cs="Arial" w:eastAsia="Arial" w:hAnsi="Arial"/>
          <w:color w:val="1c1c1c"/>
          <w:sz w:val="22"/>
          <w:szCs w:val="22"/>
        </w:rPr>
        <w:t xml:space="preserve">The intended hub site for Stage 1 construction is a parcel at Inandawa / F. Simeon, directly owned by Aileen and Aidan Mulkerrins outright (in Aileen's name). Negotiations are ongoing for a block from a deceased cousin's estate in Pugod / F. Simeon.</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Confirm current title status on the Inandawa / F. Simeon parcel</w:t>
      </w:r>
    </w:p>
    <w:p>
      <w:pPr>
        <w:pStyle w:val="ListParagraph"/>
        <w:numPr>
          <w:ilvl w:val="0"/>
          <w:numId w:val="2"/>
        </w:numPr>
        <w:spacing w:before="60" w:after="60"/>
      </w:pPr>
      <w:r>
        <w:rPr>
          <w:rFonts w:ascii="Arial" w:cs="Arial" w:eastAsia="Arial" w:hAnsi="Arial"/>
          <w:color w:val="1c1c1c"/>
          <w:sz w:val="22"/>
          <w:szCs w:val="22"/>
        </w:rPr>
        <w:t xml:space="preserve">Advise on the estate process for the Pugod parcel — multiple heirs, estate tax requirements, extrajudicial settlement or court process depending on circumstances</w:t>
      </w:r>
    </w:p>
    <w:p>
      <w:pPr>
        <w:pStyle w:val="ListParagraph"/>
        <w:numPr>
          <w:ilvl w:val="0"/>
          <w:numId w:val="2"/>
        </w:numPr>
        <w:spacing w:before="60" w:after="60"/>
      </w:pPr>
      <w:r>
        <w:rPr>
          <w:rFonts w:ascii="Arial" w:cs="Arial" w:eastAsia="Arial" w:hAnsi="Arial"/>
          <w:color w:val="1c1c1c"/>
          <w:sz w:val="22"/>
          <w:szCs w:val="22"/>
        </w:rPr>
        <w:t xml:space="preserve">Identify all heirs with a claim on the estate parcel and advise on the process to consolidate title</w:t>
      </w:r>
    </w:p>
    <w:p>
      <w:pPr>
        <w:pStyle w:val="ListParagraph"/>
        <w:numPr>
          <w:ilvl w:val="0"/>
          <w:numId w:val="2"/>
        </w:numPr>
        <w:spacing w:before="60" w:after="60"/>
      </w:pPr>
      <w:r>
        <w:rPr>
          <w:rFonts w:ascii="Arial" w:cs="Arial" w:eastAsia="Arial" w:hAnsi="Arial"/>
          <w:color w:val="1c1c1c"/>
          <w:sz w:val="22"/>
          <w:szCs w:val="22"/>
        </w:rPr>
        <w:t xml:space="preserve">Advise on estate tax computation and payment timeline — this must be resolved before construction on that parcel begins</w:t>
      </w:r>
    </w:p>
    <w:p>
      <w:pPr>
        <w:pStyle w:val="ListParagraph"/>
        <w:numPr>
          <w:ilvl w:val="0"/>
          <w:numId w:val="2"/>
        </w:numPr>
        <w:spacing w:before="60" w:after="60"/>
      </w:pPr>
      <w:r>
        <w:rPr>
          <w:rFonts w:ascii="Arial" w:cs="Arial" w:eastAsia="Arial" w:hAnsi="Arial"/>
          <w:color w:val="1c1c1c"/>
          <w:sz w:val="22"/>
          <w:szCs w:val="22"/>
        </w:rPr>
        <w:t xml:space="preserve">Confirm whether construction can commence on the currently owned Inandawa parcel while the Pugod estate process is ongoing</w:t>
      </w:r>
    </w:p>
    <w:p>
      <w:pPr>
        <w:spacing w:before="80" w:after="80"/>
      </w:pPr>
    </w:p>
    <w:p>
      <w:pPr>
        <w:pStyle w:val="Heading2"/>
        <w:spacing w:before="240" w:after="100"/>
      </w:pPr>
      <w:r>
        <w:rPr>
          <w:rFonts w:ascii="Arial" w:cs="Arial" w:eastAsia="Arial" w:hAnsi="Arial"/>
          <w:b/>
          <w:bCs/>
          <w:color w:val="4a7c59"/>
          <w:sz w:val="24"/>
          <w:szCs w:val="24"/>
        </w:rPr>
        <w:t xml:space="preserve">2.2  Shared Family Land Parcels</w:t>
      </w:r>
    </w:p>
    <w:p>
      <w:pPr>
        <w:spacing w:before="80" w:after="100"/>
      </w:pPr>
      <w:r>
        <w:rPr>
          <w:rFonts w:ascii="Arial" w:cs="Arial" w:eastAsia="Arial" w:hAnsi="Arial"/>
          <w:color w:val="1c1c1c"/>
          <w:sz w:val="22"/>
          <w:szCs w:val="22"/>
        </w:rPr>
        <w:t xml:space="preserve">The following parcels are shared between Aileen Mulkerrins and family members Arianne and Rojan. This is an intentional arrangement — co-ownership is by design and all parties are willing participants in the enterprise.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Parcels: Gainza, Balatis, Pili block, Pugod</w:t>
      </w:r>
    </w:p>
    <w:p>
      <w:pPr>
        <w:pStyle w:val="ListParagraph"/>
        <w:numPr>
          <w:ilvl w:val="0"/>
          <w:numId w:val="2"/>
        </w:numPr>
        <w:spacing w:before="60" w:after="60"/>
      </w:pPr>
      <w:r>
        <w:rPr>
          <w:rFonts w:ascii="Arial" w:cs="Arial" w:eastAsia="Arial" w:hAnsi="Arial"/>
          <w:color w:val="1c1c1c"/>
          <w:sz w:val="22"/>
          <w:szCs w:val="22"/>
        </w:rPr>
        <w:t xml:space="preserve">Advise on the best instrument to formalise the co-ownership arrangement as a commercial partnership — protecting all parties while enabling the enterprise to operate, borrow, and invest on shared land</w:t>
      </w:r>
    </w:p>
    <w:p>
      <w:pPr>
        <w:pStyle w:val="ListParagraph"/>
        <w:numPr>
          <w:ilvl w:val="0"/>
          <w:numId w:val="2"/>
        </w:numPr>
        <w:spacing w:before="60" w:after="60"/>
      </w:pPr>
      <w:r>
        <w:rPr>
          <w:rFonts w:ascii="Arial" w:cs="Arial" w:eastAsia="Arial" w:hAnsi="Arial"/>
          <w:color w:val="1c1c1c"/>
          <w:sz w:val="22"/>
          <w:szCs w:val="22"/>
        </w:rPr>
        <w:t xml:space="preserve">Draft a family co-ownership or joint venture agreement covering: use rights, profit sharing, capital investment, decision making, and exit provisions</w:t>
      </w:r>
    </w:p>
    <w:p>
      <w:pPr>
        <w:pStyle w:val="ListParagraph"/>
        <w:numPr>
          <w:ilvl w:val="0"/>
          <w:numId w:val="2"/>
        </w:numPr>
        <w:spacing w:before="60" w:after="60"/>
      </w:pPr>
      <w:r>
        <w:rPr>
          <w:rFonts w:ascii="Arial" w:cs="Arial" w:eastAsia="Arial" w:hAnsi="Arial"/>
          <w:color w:val="1c1c1c"/>
          <w:sz w:val="22"/>
          <w:szCs w:val="22"/>
        </w:rPr>
        <w:t xml:space="preserve">Ensure the agreement is consistent with Philippine land law and does not create any unintended restrictions on the enterprise's operations</w:t>
      </w:r>
    </w:p>
    <w:p>
      <w:pPr>
        <w:pStyle w:val="ListParagraph"/>
        <w:numPr>
          <w:ilvl w:val="0"/>
          <w:numId w:val="2"/>
        </w:numPr>
        <w:spacing w:before="60" w:after="60"/>
      </w:pPr>
      <w:r>
        <w:rPr>
          <w:rFonts w:ascii="Arial" w:cs="Arial" w:eastAsia="Arial" w:hAnsi="Arial"/>
          <w:color w:val="1c1c1c"/>
          <w:sz w:val="22"/>
          <w:szCs w:val="22"/>
        </w:rPr>
        <w:t xml:space="preserve">Advise on whether any of these parcels require title subdivision or consolidation before the enterprise can operate commercially on them</w:t>
      </w:r>
    </w:p>
    <w:p>
      <w:pPr>
        <w:spacing w:before="80" w:after="80"/>
      </w:pPr>
    </w:p>
    <w:p>
      <w:pPr>
        <w:pStyle w:val="Heading2"/>
        <w:spacing w:before="240" w:after="100"/>
      </w:pPr>
      <w:r>
        <w:rPr>
          <w:rFonts w:ascii="Arial" w:cs="Arial" w:eastAsia="Arial" w:hAnsi="Arial"/>
          <w:b/>
          <w:bCs/>
          <w:color w:val="4a7c59"/>
          <w:sz w:val="24"/>
          <w:szCs w:val="24"/>
        </w:rPr>
        <w:t xml:space="preserve">2.3  Construction Permits</w:t>
      </w:r>
    </w:p>
    <w:p>
      <w:pPr>
        <w:spacing w:before="80" w:after="100"/>
      </w:pPr>
      <w:r>
        <w:rPr>
          <w:rFonts w:ascii="Arial" w:cs="Arial" w:eastAsia="Arial" w:hAnsi="Arial"/>
          <w:color w:val="1c1c1c"/>
          <w:sz w:val="22"/>
          <w:szCs w:val="22"/>
        </w:rPr>
        <w:t xml:space="preserve">Stage 1 construction at Pugod includes a manager's residence, a hoop house, container-based logistics infrastructure, ponds, and terracing. All construction invoices will be addressed to the registered business from day one.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Advise on building permit requirements for Ragay LGU — specifically for agricultural structures, container-based buildings, and the manager's residence</w:t>
      </w:r>
    </w:p>
    <w:p>
      <w:pPr>
        <w:pStyle w:val="ListParagraph"/>
        <w:numPr>
          <w:ilvl w:val="0"/>
          <w:numId w:val="2"/>
        </w:numPr>
        <w:spacing w:before="60" w:after="60"/>
      </w:pPr>
      <w:r>
        <w:rPr>
          <w:rFonts w:ascii="Arial" w:cs="Arial" w:eastAsia="Arial" w:hAnsi="Arial"/>
          <w:color w:val="1c1c1c"/>
          <w:sz w:val="22"/>
          <w:szCs w:val="22"/>
        </w:rPr>
        <w:t xml:space="preserve">Advise on whether the manager's residence built as a company asset requires any additional permit or declaration</w:t>
      </w:r>
    </w:p>
    <w:p>
      <w:pPr>
        <w:pStyle w:val="ListParagraph"/>
        <w:numPr>
          <w:ilvl w:val="0"/>
          <w:numId w:val="2"/>
        </w:numPr>
        <w:spacing w:before="60" w:after="60"/>
      </w:pPr>
      <w:r>
        <w:rPr>
          <w:rFonts w:ascii="Arial" w:cs="Arial" w:eastAsia="Arial" w:hAnsi="Arial"/>
          <w:color w:val="1c1c1c"/>
          <w:sz w:val="22"/>
          <w:szCs w:val="22"/>
        </w:rPr>
        <w:t xml:space="preserve">Confirm environmental compliance requirements for the aquaponic system — water extraction, pond construction, and water return to the river</w:t>
      </w:r>
    </w:p>
    <w:p>
      <w:pPr>
        <w:pStyle w:val="ListParagraph"/>
        <w:numPr>
          <w:ilvl w:val="0"/>
          <w:numId w:val="2"/>
        </w:numPr>
        <w:spacing w:before="60" w:after="60"/>
      </w:pPr>
      <w:r>
        <w:rPr>
          <w:rFonts w:ascii="Arial" w:cs="Arial" w:eastAsia="Arial" w:hAnsi="Arial"/>
          <w:color w:val="1c1c1c"/>
          <w:sz w:val="22"/>
          <w:szCs w:val="22"/>
        </w:rPr>
        <w:t xml:space="preserve">Assist with DA water quality demonstration site application once the system is commissioned</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3.  Immigration and Residency — Aidan Mulkerrins</w:t>
      </w:r>
    </w:p>
    <w:p>
      <w:pPr>
        <w:spacing w:before="80" w:after="80"/>
      </w:pPr>
    </w:p>
    <w:p>
      <w:pPr>
        <w:spacing w:before="80" w:after="100"/>
      </w:pPr>
      <w:r>
        <w:rPr>
          <w:rFonts w:ascii="Arial" w:cs="Arial" w:eastAsia="Arial" w:hAnsi="Arial"/>
          <w:color w:val="1c1c1c"/>
          <w:sz w:val="22"/>
          <w:szCs w:val="22"/>
        </w:rPr>
        <w:t xml:space="preserve">Aidan Mulkerrins is an Australian citizen and the husband of Aileen Mulkerrins, a Filipino citizen. He plans to depart Australia in September 2026 and relocate permanently to the Philippines.</w:t>
      </w:r>
    </w:p>
    <w:p>
      <w:pPr>
        <w:spacing w:before="80" w:after="80"/>
      </w:pPr>
    </w:p>
    <w:p>
      <w:pPr>
        <w:pStyle w:val="Heading2"/>
        <w:spacing w:before="240" w:after="100"/>
      </w:pPr>
      <w:r>
        <w:rPr>
          <w:rFonts w:ascii="Arial" w:cs="Arial" w:eastAsia="Arial" w:hAnsi="Arial"/>
          <w:b/>
          <w:bCs/>
          <w:color w:val="4a7c59"/>
          <w:sz w:val="24"/>
          <w:szCs w:val="24"/>
        </w:rPr>
        <w:t xml:space="preserve">3.1  Balikbayan Privilege</w:t>
      </w:r>
    </w:p>
    <w:p>
      <w:pPr>
        <w:pStyle w:val="ListParagraph"/>
        <w:numPr>
          <w:ilvl w:val="0"/>
          <w:numId w:val="2"/>
        </w:numPr>
        <w:spacing w:before="60" w:after="60"/>
      </w:pPr>
      <w:r>
        <w:rPr>
          <w:rFonts w:ascii="Arial" w:cs="Arial" w:eastAsia="Arial" w:hAnsi="Arial"/>
          <w:color w:val="1c1c1c"/>
          <w:sz w:val="22"/>
          <w:szCs w:val="22"/>
        </w:rPr>
        <w:t xml:space="preserve">Confirm the Balikbayan privilege entitlements for Aidan as spouse of a Filipino citizen arriving from Australia</w:t>
      </w:r>
    </w:p>
    <w:p>
      <w:pPr>
        <w:pStyle w:val="ListParagraph"/>
        <w:numPr>
          <w:ilvl w:val="0"/>
          <w:numId w:val="2"/>
        </w:numPr>
        <w:spacing w:before="60" w:after="60"/>
      </w:pPr>
      <w:r>
        <w:rPr>
          <w:rFonts w:ascii="Arial" w:cs="Arial" w:eastAsia="Arial" w:hAnsi="Arial"/>
          <w:color w:val="1c1c1c"/>
          <w:sz w:val="22"/>
          <w:szCs w:val="22"/>
        </w:rPr>
        <w:t xml:space="preserve">Confirm the 12-month stay period and any conditions</w:t>
      </w:r>
    </w:p>
    <w:p>
      <w:pPr>
        <w:pStyle w:val="ListParagraph"/>
        <w:numPr>
          <w:ilvl w:val="0"/>
          <w:numId w:val="2"/>
        </w:numPr>
        <w:spacing w:before="60" w:after="60"/>
      </w:pPr>
      <w:r>
        <w:rPr>
          <w:rFonts w:ascii="Arial" w:cs="Arial" w:eastAsia="Arial" w:hAnsi="Arial"/>
          <w:color w:val="1c1c1c"/>
          <w:sz w:val="22"/>
          <w:szCs w:val="22"/>
        </w:rPr>
        <w:t xml:space="preserve">Advise on what activities (employment, business management, signing authority) are permitted under Balikbayan status</w:t>
      </w:r>
    </w:p>
    <w:p>
      <w:pPr>
        <w:spacing w:before="80" w:after="80"/>
      </w:pPr>
    </w:p>
    <w:p>
      <w:pPr>
        <w:pStyle w:val="Heading2"/>
        <w:spacing w:before="240" w:after="100"/>
      </w:pPr>
      <w:r>
        <w:rPr>
          <w:rFonts w:ascii="Arial" w:cs="Arial" w:eastAsia="Arial" w:hAnsi="Arial"/>
          <w:b/>
          <w:bCs/>
          <w:color w:val="4a7c59"/>
          <w:sz w:val="24"/>
          <w:szCs w:val="24"/>
        </w:rPr>
        <w:t xml:space="preserve">3.2  13A Permanent Resident Visa</w:t>
      </w:r>
    </w:p>
    <w:p>
      <w:pPr>
        <w:pStyle w:val="ListParagraph"/>
        <w:numPr>
          <w:ilvl w:val="0"/>
          <w:numId w:val="2"/>
        </w:numPr>
        <w:spacing w:before="60" w:after="60"/>
      </w:pPr>
      <w:r>
        <w:rPr>
          <w:rFonts w:ascii="Arial" w:cs="Arial" w:eastAsia="Arial" w:hAnsi="Arial"/>
          <w:color w:val="1c1c1c"/>
          <w:sz w:val="22"/>
          <w:szCs w:val="22"/>
        </w:rPr>
        <w:t xml:space="preserve">Advise on the full 13A application process as spouse of a Filipino citizen</w:t>
      </w:r>
    </w:p>
    <w:p>
      <w:pPr>
        <w:pStyle w:val="ListParagraph"/>
        <w:numPr>
          <w:ilvl w:val="0"/>
          <w:numId w:val="2"/>
        </w:numPr>
        <w:spacing w:before="60" w:after="60"/>
      </w:pPr>
      <w:r>
        <w:rPr>
          <w:rFonts w:ascii="Arial" w:cs="Arial" w:eastAsia="Arial" w:hAnsi="Arial"/>
          <w:color w:val="1c1c1c"/>
          <w:sz w:val="22"/>
          <w:szCs w:val="22"/>
        </w:rPr>
        <w:t xml:space="preserve">Documents required — marriage certificate, birth certificates, police clearances, medical, financial requirements</w:t>
      </w:r>
    </w:p>
    <w:p>
      <w:pPr>
        <w:pStyle w:val="ListParagraph"/>
        <w:numPr>
          <w:ilvl w:val="0"/>
          <w:numId w:val="2"/>
        </w:numPr>
        <w:spacing w:before="60" w:after="60"/>
      </w:pPr>
      <w:r>
        <w:rPr>
          <w:rFonts w:ascii="Arial" w:cs="Arial" w:eastAsia="Arial" w:hAnsi="Arial"/>
          <w:color w:val="1c1c1c"/>
          <w:sz w:val="22"/>
          <w:szCs w:val="22"/>
        </w:rPr>
        <w:t xml:space="preserve">Timeline from application to grant — Aidan needs to be able to formally engage with the enterprise as quickly as possible</w:t>
      </w:r>
    </w:p>
    <w:p>
      <w:pPr>
        <w:pStyle w:val="ListParagraph"/>
        <w:numPr>
          <w:ilvl w:val="0"/>
          <w:numId w:val="2"/>
        </w:numPr>
        <w:spacing w:before="60" w:after="60"/>
      </w:pPr>
      <w:r>
        <w:rPr>
          <w:rFonts w:ascii="Arial" w:cs="Arial" w:eastAsia="Arial" w:hAnsi="Arial"/>
          <w:color w:val="1c1c1c"/>
          <w:sz w:val="22"/>
          <w:szCs w:val="22"/>
        </w:rPr>
        <w:t xml:space="preserve">Advise on whether 13A allows full employment and business ownership participation</w:t>
      </w:r>
    </w:p>
    <w:p>
      <w:pPr>
        <w:pStyle w:val="ListParagraph"/>
        <w:numPr>
          <w:ilvl w:val="0"/>
          <w:numId w:val="2"/>
        </w:numPr>
        <w:spacing w:before="60" w:after="60"/>
      </w:pPr>
      <w:r>
        <w:rPr>
          <w:rFonts w:ascii="Arial" w:cs="Arial" w:eastAsia="Arial" w:hAnsi="Arial"/>
          <w:color w:val="1c1c1c"/>
          <w:sz w:val="22"/>
          <w:szCs w:val="22"/>
        </w:rPr>
        <w:t xml:space="preserve">Advise on any restrictions during the provisional 13A period prior to the permanent grant</w:t>
      </w:r>
    </w:p>
    <w:p>
      <w:pPr>
        <w:spacing w:before="80" w:after="80"/>
      </w:pPr>
    </w:p>
    <w:p>
      <w:pPr>
        <w:pStyle w:val="Heading2"/>
        <w:spacing w:before="240" w:after="100"/>
      </w:pPr>
      <w:r>
        <w:rPr>
          <w:rFonts w:ascii="Arial" w:cs="Arial" w:eastAsia="Arial" w:hAnsi="Arial"/>
          <w:b/>
          <w:bCs/>
          <w:color w:val="4a7c59"/>
          <w:sz w:val="24"/>
          <w:szCs w:val="24"/>
        </w:rPr>
        <w:t xml:space="preserve">3.3  Australian Tax Residency Cessation</w:t>
      </w:r>
    </w:p>
    <w:p>
      <w:pPr>
        <w:spacing w:before="80" w:after="100"/>
      </w:pPr>
      <w:r>
        <w:rPr>
          <w:rFonts w:ascii="Arial" w:cs="Arial" w:eastAsia="Arial" w:hAnsi="Arial"/>
          <w:color w:val="1c1c1c"/>
          <w:sz w:val="22"/>
          <w:szCs w:val="22"/>
        </w:rPr>
        <w:t xml:space="preserve">Aidan will sell all Australian assets and formally cease Australian tax residency before September 2026 departure. This is being handled in Australia but we require advice on any Philippine side implications.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Advise on any Philippine tax obligations that arise from Aidan's arrival as a new resident</w:t>
      </w:r>
    </w:p>
    <w:p>
      <w:pPr>
        <w:pStyle w:val="ListParagraph"/>
        <w:numPr>
          <w:ilvl w:val="0"/>
          <w:numId w:val="2"/>
        </w:numPr>
        <w:spacing w:before="60" w:after="60"/>
      </w:pPr>
      <w:r>
        <w:rPr>
          <w:rFonts w:ascii="Arial" w:cs="Arial" w:eastAsia="Arial" w:hAnsi="Arial"/>
          <w:color w:val="1c1c1c"/>
          <w:sz w:val="22"/>
          <w:szCs w:val="22"/>
        </w:rPr>
        <w:t xml:space="preserve">Advise on whether Aileen's existing Filipino tax obligations change when her spouse becomes a Philippine resident</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4.  Fleet and Finance</w:t>
      </w:r>
    </w:p>
    <w:p>
      <w:pPr>
        <w:spacing w:before="80" w:after="80"/>
      </w:pPr>
    </w:p>
    <w:p>
      <w:pPr>
        <w:spacing w:before="80" w:after="100"/>
      </w:pPr>
      <w:r>
        <w:rPr>
          <w:rFonts w:ascii="Arial" w:cs="Arial" w:eastAsia="Arial" w:hAnsi="Arial"/>
          <w:color w:val="1c1c1c"/>
          <w:sz w:val="22"/>
          <w:szCs w:val="22"/>
        </w:rPr>
        <w:t xml:space="preserve">Nana Bambi's Place is acquiring a commercial vehicle fleet through Isuzu Naga. Aileen Mulkerrins is the legal borrowing entity for all fleet finance.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Review the fleet finance documentation before signing — confirm the terms are appropriate for a registered agricultural enterprise</w:t>
      </w:r>
    </w:p>
    <w:p>
      <w:pPr>
        <w:pStyle w:val="ListParagraph"/>
        <w:numPr>
          <w:ilvl w:val="0"/>
          <w:numId w:val="2"/>
        </w:numPr>
        <w:spacing w:before="60" w:after="60"/>
      </w:pPr>
      <w:r>
        <w:rPr>
          <w:rFonts w:ascii="Arial" w:cs="Arial" w:eastAsia="Arial" w:hAnsi="Arial"/>
          <w:color w:val="1c1c1c"/>
          <w:sz w:val="22"/>
          <w:szCs w:val="22"/>
        </w:rPr>
        <w:t xml:space="preserve">Advise on whether the fleet assets should be registered in the enterprise name or Aileen's personal name for tax and depreciation purposes</w:t>
      </w:r>
    </w:p>
    <w:p>
      <w:pPr>
        <w:pStyle w:val="ListParagraph"/>
        <w:numPr>
          <w:ilvl w:val="0"/>
          <w:numId w:val="2"/>
        </w:numPr>
        <w:spacing w:before="60" w:after="60"/>
      </w:pPr>
      <w:r>
        <w:rPr>
          <w:rFonts w:ascii="Arial" w:cs="Arial" w:eastAsia="Arial" w:hAnsi="Arial"/>
          <w:color w:val="1c1c1c"/>
          <w:sz w:val="22"/>
          <w:szCs w:val="22"/>
        </w:rPr>
        <w:t xml:space="preserve">Advise on the correct instrument for Aidan to have signing authority on enterprise operational matters while not holding legal ownership</w:t>
      </w:r>
    </w:p>
    <w:p>
      <w:pPr>
        <w:pStyle w:val="ListParagraph"/>
        <w:numPr>
          <w:ilvl w:val="0"/>
          <w:numId w:val="2"/>
        </w:numPr>
        <w:spacing w:before="60" w:after="60"/>
      </w:pPr>
      <w:r>
        <w:rPr>
          <w:rFonts w:ascii="Arial" w:cs="Arial" w:eastAsia="Arial" w:hAnsi="Arial"/>
          <w:color w:val="1c1c1c"/>
          <w:sz w:val="22"/>
          <w:szCs w:val="22"/>
        </w:rPr>
        <w:t xml:space="preserve">Advise on any LTFRB or LTO commercial registration requirements for the refrigerated truck and livestock transport vehicle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5.  Ongoing Retainer Requirements</w:t>
      </w:r>
    </w:p>
    <w:p>
      <w:pPr>
        <w:spacing w:before="80" w:after="80"/>
      </w:pPr>
    </w:p>
    <w:p>
      <w:pPr>
        <w:spacing w:before="80" w:after="100"/>
      </w:pPr>
      <w:r>
        <w:rPr>
          <w:rFonts w:ascii="Arial" w:cs="Arial" w:eastAsia="Arial" w:hAnsi="Arial"/>
          <w:color w:val="1c1c1c"/>
          <w:sz w:val="22"/>
          <w:szCs w:val="22"/>
        </w:rPr>
        <w:t xml:space="preserve">Beyond the immediate establishment work, we require a lawyer on retainer for ongoing matters as the enterprise grows. Specifically:</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Employment contracts for all permanent staff — using these position descriptions as the basis</w:t>
      </w:r>
    </w:p>
    <w:p>
      <w:pPr>
        <w:pStyle w:val="ListParagraph"/>
        <w:numPr>
          <w:ilvl w:val="0"/>
          <w:numId w:val="2"/>
        </w:numPr>
        <w:spacing w:before="60" w:after="60"/>
      </w:pPr>
      <w:r>
        <w:rPr>
          <w:rFonts w:ascii="Arial" w:cs="Arial" w:eastAsia="Arial" w:hAnsi="Arial"/>
          <w:color w:val="1c1c1c"/>
          <w:sz w:val="22"/>
          <w:szCs w:val="22"/>
        </w:rPr>
        <w:t xml:space="preserve">Supplier agreements — particularly the panaderia vendor arrangement and any farm produce supply agreements</w:t>
      </w:r>
    </w:p>
    <w:p>
      <w:pPr>
        <w:pStyle w:val="ListParagraph"/>
        <w:numPr>
          <w:ilvl w:val="0"/>
          <w:numId w:val="2"/>
        </w:numPr>
        <w:spacing w:before="60" w:after="60"/>
      </w:pPr>
      <w:r>
        <w:rPr>
          <w:rFonts w:ascii="Arial" w:cs="Arial" w:eastAsia="Arial" w:hAnsi="Arial"/>
          <w:color w:val="1c1c1c"/>
          <w:sz w:val="22"/>
          <w:szCs w:val="22"/>
        </w:rPr>
        <w:t xml:space="preserve">Customer contracts for functions and bulk orders through Alejandro's Café</w:t>
      </w:r>
    </w:p>
    <w:p>
      <w:pPr>
        <w:pStyle w:val="ListParagraph"/>
        <w:numPr>
          <w:ilvl w:val="0"/>
          <w:numId w:val="2"/>
        </w:numPr>
        <w:spacing w:before="60" w:after="60"/>
      </w:pPr>
      <w:r>
        <w:rPr>
          <w:rFonts w:ascii="Arial" w:cs="Arial" w:eastAsia="Arial" w:hAnsi="Arial"/>
          <w:color w:val="1c1c1c"/>
          <w:sz w:val="22"/>
          <w:szCs w:val="22"/>
        </w:rPr>
        <w:t xml:space="preserve">Any future land acquisitions</w:t>
      </w:r>
    </w:p>
    <w:p>
      <w:pPr>
        <w:pStyle w:val="ListParagraph"/>
        <w:numPr>
          <w:ilvl w:val="0"/>
          <w:numId w:val="2"/>
        </w:numPr>
        <w:spacing w:before="60" w:after="60"/>
      </w:pPr>
      <w:r>
        <w:rPr>
          <w:rFonts w:ascii="Arial" w:cs="Arial" w:eastAsia="Arial" w:hAnsi="Arial"/>
          <w:color w:val="1c1c1c"/>
          <w:sz w:val="22"/>
          <w:szCs w:val="22"/>
        </w:rPr>
        <w:t xml:space="preserve">DA and LGU regulatory compliance as the enterprise expands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52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OUR EXPECTATION</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We need a lawyer who understands agricultural enterprise, family land arrangements, and the practical realities of building a business in provincial Philippines. We do not need theoretical advice. We need someone who will tell us what to do, in what order, and what the consequences are if we get it wrong.</w:t>
            </w:r>
          </w:p>
        </w:tc>
      </w:tr>
    </w:tbl>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Mulkerrins — Registered Owner and CEO</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  |  Aileen Mulkerrins, Registered Owner</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565c0" w:sz="4" w:space="1"/>
      </w:pBdr>
      <w:tabs>
        <w:tab w:val="right" w:pos="9026"/>
      </w:tabs>
    </w:pPr>
    <w:r>
      <w:rPr>
        <w:rFonts w:ascii="Arial" w:cs="Arial" w:eastAsia="Arial" w:hAnsi="Arial"/>
        <w:color w:val="1565c0"/>
        <w:sz w:val="18"/>
        <w:szCs w:val="18"/>
      </w:rPr>
      <w:t xml:space="preserve">Nana Bambi's Place — Legal Services Brief</w:t>
    </w:r>
    <w:r>
      <w:rPr>
        <w:rFonts w:ascii="Arial" w:cs="Arial" w:eastAsia="Arial" w:hAnsi="Arial"/>
        <w:sz w:val="18"/>
        <w:szCs w:val="18"/>
      </w:rPr>
      <w:t xml:space="preserve">	</w:t>
    </w:r>
    <w:r>
      <w:rPr>
        <w:rFonts w:ascii="Arial" w:cs="Arial" w:eastAsia="Arial" w:hAnsi="Arial"/>
        <w:color w:val="999999"/>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 w:type="paragraph" w:styleId="Heading3">
    <w:name w:val="Heading 3"/>
    <w:basedOn w:val="Normal"/>
    <w:next w:val="Normal"/>
    <w:qFormat/>
    <w:pPr>
      <w:spacing w:before="180" w:after="80"/>
      <w:outlineLvl w:val="2"/>
    </w:pPr>
    <w:rPr>
      <w:rFonts w:ascii="Arial" w:cs="Arial" w:eastAsia="Arial" w:hAnsi="Arial"/>
      <w:b/>
      <w:bCs/>
      <w:color w:val="00a8a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2026-03-15T04:20:11.077Z</dcterms:created>
  <dcterms:modified xsi:type="dcterms:W3CDTF">2026-03-15T04:20:11.078Z</dcterms:modified>
</cp:coreProperties>
</file>

<file path=docProps/custom.xml><?xml version="1.0" encoding="utf-8"?>
<Properties xmlns="http://schemas.openxmlformats.org/officeDocument/2006/custom-properties" xmlns:vt="http://schemas.openxmlformats.org/officeDocument/2006/docPropsVTypes"/>
</file>